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0" w:after="240" w:line="960" w:lineRule="exact"/>
        <w:ind w:firstLine="0" w:firstLineChars="0"/>
        <w:jc w:val="center"/>
        <w:rPr>
          <w:rFonts w:ascii="Times New Roman" w:hAnsi="Times New Roman" w:eastAsia="黑体"/>
          <w:spacing w:val="-20"/>
          <w:kern w:val="4"/>
          <w:sz w:val="52"/>
          <w:szCs w:val="52"/>
        </w:rPr>
      </w:pPr>
      <w:r>
        <w:rPr>
          <w:rFonts w:ascii="Times New Roman" w:hAnsi="Times New Roman" w:eastAsia="黑体"/>
          <w:spacing w:val="-20"/>
          <w:kern w:val="4"/>
          <w:sz w:val="52"/>
          <w:szCs w:val="52"/>
        </w:rPr>
        <w:t>溧水区“十三五”交通运输发展规划</w:t>
      </w:r>
    </w:p>
    <w:p>
      <w:pPr>
        <w:spacing w:before="240" w:after="240" w:line="560" w:lineRule="exact"/>
        <w:ind w:firstLine="0" w:firstLineChars="0"/>
        <w:jc w:val="center"/>
        <w:rPr>
          <w:rFonts w:ascii="Times New Roman" w:hAnsi="Times New Roman" w:eastAsia="黑体"/>
          <w:kern w:val="4"/>
          <w:sz w:val="48"/>
          <w:szCs w:val="48"/>
        </w:rPr>
      </w:pPr>
    </w:p>
    <w:p>
      <w:pPr>
        <w:spacing w:before="240" w:after="240" w:line="560" w:lineRule="exact"/>
        <w:ind w:firstLine="0" w:firstLineChars="0"/>
        <w:jc w:val="center"/>
        <w:rPr>
          <w:rFonts w:ascii="Times New Roman" w:hAnsi="Times New Roman" w:eastAsia="黑体"/>
          <w:kern w:val="4"/>
          <w:sz w:val="48"/>
          <w:szCs w:val="48"/>
        </w:rPr>
      </w:pPr>
    </w:p>
    <w:p>
      <w:pPr>
        <w:spacing w:before="240" w:after="240" w:line="560" w:lineRule="exact"/>
        <w:ind w:firstLine="0" w:firstLineChars="0"/>
        <w:jc w:val="center"/>
        <w:rPr>
          <w:rFonts w:ascii="Times New Roman" w:hAnsi="Times New Roman" w:eastAsia="黑体"/>
          <w:kern w:val="4"/>
          <w:sz w:val="48"/>
          <w:szCs w:val="48"/>
        </w:rPr>
      </w:pPr>
    </w:p>
    <w:p>
      <w:pPr>
        <w:spacing w:before="240" w:after="240" w:line="560" w:lineRule="exact"/>
        <w:ind w:firstLine="0" w:firstLineChars="0"/>
        <w:jc w:val="center"/>
        <w:rPr>
          <w:rFonts w:ascii="Times New Roman" w:hAnsi="Times New Roman" w:eastAsia="华文仿宋"/>
          <w:b/>
          <w:kern w:val="4"/>
          <w:szCs w:val="28"/>
        </w:rPr>
      </w:pPr>
    </w:p>
    <w:p>
      <w:pPr>
        <w:spacing w:before="240" w:after="240" w:line="560" w:lineRule="exact"/>
        <w:ind w:firstLine="0" w:firstLineChars="0"/>
        <w:jc w:val="center"/>
        <w:rPr>
          <w:rFonts w:ascii="Times New Roman" w:hAnsi="Times New Roman" w:eastAsia="华文仿宋"/>
          <w:b/>
          <w:kern w:val="4"/>
          <w:szCs w:val="28"/>
        </w:rPr>
      </w:pPr>
    </w:p>
    <w:p>
      <w:pPr>
        <w:spacing w:before="240" w:after="240" w:line="560" w:lineRule="exact"/>
        <w:ind w:firstLine="0" w:firstLineChars="0"/>
        <w:jc w:val="center"/>
        <w:rPr>
          <w:rFonts w:ascii="Times New Roman" w:hAnsi="Times New Roman" w:eastAsia="华文仿宋"/>
          <w:b/>
          <w:kern w:val="4"/>
          <w:szCs w:val="28"/>
        </w:rPr>
      </w:pPr>
    </w:p>
    <w:p>
      <w:pPr>
        <w:spacing w:before="240" w:after="240" w:line="560" w:lineRule="exact"/>
        <w:ind w:firstLine="0" w:firstLineChars="0"/>
        <w:jc w:val="center"/>
        <w:rPr>
          <w:rFonts w:ascii="Times New Roman" w:hAnsi="Times New Roman" w:eastAsia="华文仿宋"/>
          <w:b/>
          <w:kern w:val="4"/>
          <w:szCs w:val="28"/>
        </w:rPr>
      </w:pPr>
    </w:p>
    <w:p>
      <w:pPr>
        <w:spacing w:before="240" w:after="240" w:line="560" w:lineRule="exact"/>
        <w:ind w:firstLine="0" w:firstLineChars="0"/>
        <w:jc w:val="center"/>
        <w:rPr>
          <w:rFonts w:ascii="Times New Roman" w:hAnsi="Times New Roman" w:eastAsia="华文仿宋"/>
          <w:b/>
          <w:kern w:val="4"/>
          <w:szCs w:val="28"/>
        </w:rPr>
      </w:pPr>
    </w:p>
    <w:p>
      <w:pPr>
        <w:spacing w:before="240" w:after="240" w:line="560" w:lineRule="exact"/>
        <w:ind w:firstLine="0" w:firstLineChars="0"/>
        <w:jc w:val="center"/>
        <w:rPr>
          <w:rFonts w:ascii="Times New Roman" w:hAnsi="Times New Roman" w:eastAsia="华文仿宋"/>
          <w:b/>
          <w:kern w:val="4"/>
          <w:szCs w:val="28"/>
        </w:rPr>
      </w:pPr>
    </w:p>
    <w:p>
      <w:pPr>
        <w:spacing w:before="240" w:after="240" w:line="560" w:lineRule="exact"/>
        <w:ind w:firstLine="0" w:firstLineChars="0"/>
        <w:jc w:val="center"/>
        <w:rPr>
          <w:rFonts w:ascii="Times New Roman" w:hAnsi="Times New Roman" w:eastAsia="华文仿宋"/>
          <w:b/>
          <w:kern w:val="4"/>
          <w:szCs w:val="28"/>
        </w:rPr>
      </w:pPr>
    </w:p>
    <w:p>
      <w:pPr>
        <w:spacing w:before="240" w:after="240" w:line="560" w:lineRule="exact"/>
        <w:ind w:firstLine="0" w:firstLineChars="0"/>
        <w:jc w:val="center"/>
        <w:rPr>
          <w:rFonts w:ascii="Times New Roman" w:hAnsi="Times New Roman" w:eastAsia="华文仿宋"/>
          <w:b/>
          <w:kern w:val="4"/>
          <w:szCs w:val="28"/>
        </w:rPr>
      </w:pPr>
    </w:p>
    <w:p>
      <w:pPr>
        <w:spacing w:before="240" w:after="240" w:line="560" w:lineRule="exact"/>
        <w:ind w:firstLine="0" w:firstLineChars="0"/>
        <w:jc w:val="center"/>
        <w:rPr>
          <w:rFonts w:ascii="Times New Roman" w:hAnsi="Times New Roman" w:eastAsia="华文仿宋"/>
          <w:b/>
          <w:kern w:val="4"/>
          <w:szCs w:val="28"/>
        </w:rPr>
      </w:pPr>
      <w:r>
        <w:rPr>
          <w:rFonts w:ascii="Times New Roman" w:hAnsi="Times New Roman"/>
          <w:kern w:val="4"/>
        </w:rPr>
        <mc:AlternateContent>
          <mc:Choice Requires="wps">
            <w:drawing>
              <wp:anchor distT="0" distB="0" distL="114300" distR="114300" simplePos="0" relativeHeight="251653120" behindDoc="0" locked="0" layoutInCell="1" allowOverlap="1">
                <wp:simplePos x="0" y="0"/>
                <wp:positionH relativeFrom="column">
                  <wp:posOffset>1856740</wp:posOffset>
                </wp:positionH>
                <wp:positionV relativeFrom="paragraph">
                  <wp:posOffset>135255</wp:posOffset>
                </wp:positionV>
                <wp:extent cx="2449830" cy="853440"/>
                <wp:effectExtent l="0" t="0" r="0" b="0"/>
                <wp:wrapNone/>
                <wp:docPr id="1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449830" cy="853440"/>
                        </a:xfrm>
                        <a:prstGeom prst="rect">
                          <a:avLst/>
                        </a:prstGeom>
                        <a:noFill/>
                        <a:ln>
                          <a:noFill/>
                        </a:ln>
                        <a:effectLst/>
                      </wps:spPr>
                      <wps:txbx>
                        <w:txbxContent>
                          <w:p>
                            <w:pPr>
                              <w:spacing w:line="600" w:lineRule="exact"/>
                              <w:ind w:firstLine="0" w:firstLineChars="0"/>
                              <w:jc w:val="distribute"/>
                              <w:rPr>
                                <w:rFonts w:ascii="Times New Roman" w:hAnsi="Times New Roman" w:eastAsia="黑体"/>
                                <w:sz w:val="32"/>
                                <w:szCs w:val="32"/>
                              </w:rPr>
                            </w:pPr>
                            <w:r>
                              <w:rPr>
                                <w:rFonts w:hint="eastAsia" w:ascii="Times New Roman" w:hAnsi="Times New Roman" w:eastAsia="黑体"/>
                                <w:sz w:val="32"/>
                                <w:szCs w:val="32"/>
                              </w:rPr>
                              <w:t>南京市溧水区交通运输局</w:t>
                            </w:r>
                          </w:p>
                          <w:p>
                            <w:pPr>
                              <w:spacing w:line="600" w:lineRule="exact"/>
                              <w:ind w:firstLine="0" w:firstLineChars="0"/>
                              <w:jc w:val="distribute"/>
                            </w:pPr>
                            <w:r>
                              <w:rPr>
                                <w:rFonts w:hint="eastAsia" w:ascii="Times New Roman" w:hAnsi="Times New Roman" w:eastAsia="黑体"/>
                                <w:sz w:val="32"/>
                                <w:szCs w:val="32"/>
                              </w:rPr>
                              <w:t>苏交科集团股份有限公司</w:t>
                            </w:r>
                          </w:p>
                        </w:txbxContent>
                      </wps:txbx>
                      <wps:bodyPr rot="0" vert="horz" wrap="square" lIns="91440" tIns="45720" rIns="91440" bIns="45720" anchor="t" anchorCtr="0" upright="1">
                        <a:spAutoFit/>
                      </wps:bodyPr>
                    </wps:wsp>
                  </a:graphicData>
                </a:graphic>
              </wp:anchor>
            </w:drawing>
          </mc:Choice>
          <mc:Fallback>
            <w:pict>
              <v:shape id="文本框 2" o:spid="_x0000_s1026" o:spt="202" type="#_x0000_t202" style="position:absolute;left:0pt;margin-left:146.2pt;margin-top:10.65pt;height:67.2pt;width:192.9pt;z-index:251653120;mso-width-relative:page;mso-height-relative:page;" filled="f" stroked="f" coordsize="21600,21600" o:gfxdata="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JIilI2AAAAAoB&#10;AAAPAAAAAAAAAAEAIAAAACIAAABkcnMvZG93bnJldi54bWxQSwECFAAUAAAACACHTuJAnGUMoBsC&#10;AAAkBAAADgAAAAAAAAABACAAAAAnAQAAZHJzL2Uyb0RvYy54bWxQSwUGAAAAAAYABgBZAQAAtAUA&#10;AAAA&#10;">
                <v:fill on="f" focussize="0,0"/>
                <v:stroke on="f"/>
                <v:imagedata o:title=""/>
                <o:lock v:ext="edit" aspectratio="f"/>
                <v:textbox style="mso-fit-shape-to-text:t;">
                  <w:txbxContent>
                    <w:p>
                      <w:pPr>
                        <w:spacing w:line="600" w:lineRule="exact"/>
                        <w:ind w:firstLine="0" w:firstLineChars="0"/>
                        <w:jc w:val="distribute"/>
                        <w:rPr>
                          <w:rFonts w:ascii="Times New Roman" w:hAnsi="Times New Roman" w:eastAsia="黑体"/>
                          <w:sz w:val="32"/>
                          <w:szCs w:val="32"/>
                        </w:rPr>
                      </w:pPr>
                      <w:r>
                        <w:rPr>
                          <w:rFonts w:hint="eastAsia" w:ascii="Times New Roman" w:hAnsi="Times New Roman" w:eastAsia="黑体"/>
                          <w:sz w:val="32"/>
                          <w:szCs w:val="32"/>
                        </w:rPr>
                        <w:t>南京市溧水区交通运输局</w:t>
                      </w:r>
                    </w:p>
                    <w:p>
                      <w:pPr>
                        <w:spacing w:line="600" w:lineRule="exact"/>
                        <w:ind w:firstLine="0" w:firstLineChars="0"/>
                        <w:jc w:val="distribute"/>
                      </w:pPr>
                      <w:r>
                        <w:rPr>
                          <w:rFonts w:hint="eastAsia" w:ascii="Times New Roman" w:hAnsi="Times New Roman" w:eastAsia="黑体"/>
                          <w:sz w:val="32"/>
                          <w:szCs w:val="32"/>
                        </w:rPr>
                        <w:t>苏交科集团股份有限公司</w:t>
                      </w:r>
                    </w:p>
                  </w:txbxContent>
                </v:textbox>
              </v:shape>
            </w:pict>
          </mc:Fallback>
        </mc:AlternateContent>
      </w:r>
    </w:p>
    <w:p>
      <w:pPr>
        <w:spacing w:before="240" w:after="240" w:line="560" w:lineRule="exact"/>
        <w:ind w:firstLine="0" w:firstLineChars="0"/>
        <w:jc w:val="center"/>
        <w:rPr>
          <w:rFonts w:ascii="Times New Roman" w:hAnsi="Times New Roman" w:eastAsia="华文仿宋"/>
          <w:b/>
          <w:kern w:val="4"/>
          <w:szCs w:val="28"/>
        </w:rPr>
      </w:pPr>
    </w:p>
    <w:p>
      <w:pPr>
        <w:spacing w:before="240" w:after="240" w:line="560" w:lineRule="exact"/>
        <w:ind w:firstLine="0" w:firstLineChars="0"/>
        <w:jc w:val="center"/>
        <w:rPr>
          <w:rFonts w:ascii="Times New Roman" w:hAnsi="Times New Roman" w:eastAsia="黑体"/>
          <w:kern w:val="4"/>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701" w:right="1134" w:bottom="1418" w:left="1418" w:header="851" w:footer="992" w:gutter="0"/>
          <w:cols w:space="425" w:num="1"/>
          <w:docGrid w:linePitch="312" w:charSpace="0"/>
        </w:sectPr>
      </w:pPr>
      <w:r>
        <w:rPr>
          <w:rFonts w:ascii="Times New Roman" w:hAnsi="Times New Roman" w:eastAsia="黑体"/>
          <w:kern w:val="4"/>
          <w:sz w:val="32"/>
          <w:szCs w:val="32"/>
        </w:rPr>
        <w:t>二</w:t>
      </w:r>
      <w:r>
        <w:rPr>
          <w:rFonts w:hint="eastAsia" w:ascii="黑体" w:hAnsi="黑体" w:eastAsia="黑体"/>
          <w:kern w:val="4"/>
          <w:sz w:val="32"/>
          <w:szCs w:val="32"/>
        </w:rPr>
        <w:t>○</w:t>
      </w:r>
      <w:r>
        <w:rPr>
          <w:rFonts w:ascii="Times New Roman" w:hAnsi="Times New Roman" w:eastAsia="黑体"/>
          <w:kern w:val="4"/>
          <w:sz w:val="32"/>
          <w:szCs w:val="32"/>
        </w:rPr>
        <w:t>一</w:t>
      </w:r>
      <w:r>
        <w:rPr>
          <w:rFonts w:hint="eastAsia" w:ascii="Times New Roman" w:hAnsi="Times New Roman" w:eastAsia="黑体"/>
          <w:kern w:val="4"/>
          <w:sz w:val="32"/>
          <w:szCs w:val="32"/>
        </w:rPr>
        <w:t>七</w:t>
      </w:r>
      <w:r>
        <w:rPr>
          <w:rFonts w:ascii="Times New Roman" w:hAnsi="Times New Roman" w:eastAsia="黑体"/>
          <w:kern w:val="4"/>
          <w:sz w:val="32"/>
          <w:szCs w:val="32"/>
        </w:rPr>
        <w:t>年</w:t>
      </w:r>
      <w:r>
        <w:rPr>
          <w:rFonts w:hint="eastAsia" w:ascii="Times New Roman" w:hAnsi="Times New Roman" w:eastAsia="黑体"/>
          <w:kern w:val="4"/>
          <w:sz w:val="32"/>
          <w:szCs w:val="32"/>
        </w:rPr>
        <w:t>二</w:t>
      </w:r>
      <w:r>
        <w:rPr>
          <w:rFonts w:ascii="Times New Roman" w:hAnsi="Times New Roman" w:eastAsia="黑体"/>
          <w:kern w:val="4"/>
          <w:sz w:val="32"/>
          <w:szCs w:val="32"/>
        </w:rPr>
        <w:t>月</w:t>
      </w:r>
    </w:p>
    <w:p>
      <w:pPr>
        <w:spacing w:before="360" w:line="800" w:lineRule="exact"/>
        <w:ind w:firstLine="0" w:firstLineChars="0"/>
        <w:jc w:val="center"/>
        <w:rPr>
          <w:rFonts w:ascii="Times New Roman" w:hAnsi="Times New Roman" w:eastAsia="黑体"/>
          <w:b/>
          <w:kern w:val="4"/>
          <w:sz w:val="36"/>
          <w:szCs w:val="36"/>
        </w:rPr>
      </w:pPr>
      <w:r>
        <w:rPr>
          <w:rFonts w:ascii="Times New Roman" w:hAnsi="Times New Roman" w:eastAsia="黑体"/>
          <w:b/>
          <w:kern w:val="4"/>
          <w:sz w:val="36"/>
          <w:szCs w:val="36"/>
        </w:rPr>
        <w:t>目录</w:t>
      </w:r>
    </w:p>
    <w:p>
      <w:pPr>
        <w:pStyle w:val="21"/>
        <w:spacing w:before="120" w:after="120"/>
        <w:rPr>
          <w:rStyle w:val="38"/>
          <w:color w:val="auto"/>
          <w:kern w:val="4"/>
        </w:rPr>
      </w:pPr>
      <w:r>
        <w:rPr>
          <w:b/>
          <w:kern w:val="4"/>
        </w:rPr>
        <w:fldChar w:fldCharType="begin"/>
      </w:r>
      <w:r>
        <w:rPr>
          <w:b/>
          <w:kern w:val="4"/>
        </w:rPr>
        <w:instrText xml:space="preserve"> TOC \o "1-3" \h \z \u </w:instrText>
      </w:r>
      <w:r>
        <w:rPr>
          <w:b/>
          <w:kern w:val="4"/>
        </w:rPr>
        <w:fldChar w:fldCharType="separate"/>
      </w:r>
      <w:r>
        <w:fldChar w:fldCharType="begin"/>
      </w:r>
      <w:r>
        <w:instrText xml:space="preserve"> HYPERLINK \l "_Toc438123182" </w:instrText>
      </w:r>
      <w:r>
        <w:fldChar w:fldCharType="separate"/>
      </w:r>
      <w:r>
        <w:rPr>
          <w:rStyle w:val="38"/>
          <w:color w:val="auto"/>
          <w:kern w:val="4"/>
        </w:rPr>
        <w:t>前 言</w:t>
      </w:r>
      <w:r>
        <w:rPr>
          <w:rStyle w:val="38"/>
          <w:color w:val="auto"/>
          <w:kern w:val="4"/>
        </w:rPr>
        <w:tab/>
      </w:r>
      <w:r>
        <w:rPr>
          <w:rStyle w:val="38"/>
          <w:color w:val="auto"/>
          <w:kern w:val="4"/>
        </w:rPr>
        <w:fldChar w:fldCharType="begin"/>
      </w:r>
      <w:r>
        <w:rPr>
          <w:rStyle w:val="38"/>
          <w:color w:val="auto"/>
          <w:kern w:val="4"/>
        </w:rPr>
        <w:instrText xml:space="preserve"> PAGEREF _Toc438123182 \h </w:instrText>
      </w:r>
      <w:r>
        <w:rPr>
          <w:rStyle w:val="38"/>
          <w:color w:val="auto"/>
          <w:kern w:val="4"/>
        </w:rPr>
        <w:fldChar w:fldCharType="separate"/>
      </w:r>
      <w:r>
        <w:rPr>
          <w:rStyle w:val="38"/>
          <w:color w:val="auto"/>
          <w:kern w:val="4"/>
        </w:rPr>
        <w:t>1</w:t>
      </w:r>
      <w:r>
        <w:rPr>
          <w:rStyle w:val="38"/>
          <w:color w:val="auto"/>
          <w:kern w:val="4"/>
        </w:rPr>
        <w:fldChar w:fldCharType="end"/>
      </w:r>
      <w:r>
        <w:rPr>
          <w:rStyle w:val="38"/>
          <w:color w:val="auto"/>
          <w:kern w:val="4"/>
        </w:rPr>
        <w:fldChar w:fldCharType="end"/>
      </w:r>
    </w:p>
    <w:p>
      <w:pPr>
        <w:pStyle w:val="21"/>
        <w:spacing w:before="120" w:after="120"/>
        <w:rPr>
          <w:rStyle w:val="38"/>
          <w:color w:val="auto"/>
          <w:kern w:val="4"/>
        </w:rPr>
      </w:pPr>
      <w:r>
        <w:fldChar w:fldCharType="begin"/>
      </w:r>
      <w:r>
        <w:instrText xml:space="preserve"> HYPERLINK \l "_Toc438123183" </w:instrText>
      </w:r>
      <w:r>
        <w:fldChar w:fldCharType="separate"/>
      </w:r>
      <w:r>
        <w:rPr>
          <w:rStyle w:val="38"/>
          <w:color w:val="auto"/>
          <w:kern w:val="4"/>
        </w:rPr>
        <w:t>第一章 “十二五”发展回顾与评价</w:t>
      </w:r>
      <w:r>
        <w:rPr>
          <w:rStyle w:val="38"/>
          <w:color w:val="auto"/>
          <w:kern w:val="4"/>
        </w:rPr>
        <w:tab/>
      </w:r>
      <w:r>
        <w:rPr>
          <w:rStyle w:val="38"/>
          <w:color w:val="auto"/>
          <w:kern w:val="4"/>
        </w:rPr>
        <w:fldChar w:fldCharType="begin"/>
      </w:r>
      <w:r>
        <w:rPr>
          <w:rStyle w:val="38"/>
          <w:color w:val="auto"/>
          <w:kern w:val="4"/>
        </w:rPr>
        <w:instrText xml:space="preserve"> PAGEREF _Toc438123183 \h </w:instrText>
      </w:r>
      <w:r>
        <w:rPr>
          <w:rStyle w:val="38"/>
          <w:color w:val="auto"/>
          <w:kern w:val="4"/>
        </w:rPr>
        <w:fldChar w:fldCharType="separate"/>
      </w:r>
      <w:r>
        <w:rPr>
          <w:rStyle w:val="38"/>
          <w:color w:val="auto"/>
          <w:kern w:val="4"/>
        </w:rPr>
        <w:t>1</w:t>
      </w:r>
      <w:r>
        <w:rPr>
          <w:rStyle w:val="38"/>
          <w:color w:val="auto"/>
          <w:kern w:val="4"/>
        </w:rPr>
        <w:fldChar w:fldCharType="end"/>
      </w:r>
      <w:r>
        <w:rPr>
          <w:rStyle w:val="38"/>
          <w:color w:val="auto"/>
          <w:kern w:val="4"/>
        </w:rPr>
        <w:fldChar w:fldCharType="end"/>
      </w:r>
    </w:p>
    <w:p>
      <w:pPr>
        <w:pStyle w:val="24"/>
        <w:spacing w:line="360" w:lineRule="auto"/>
        <w:ind w:firstLine="0" w:firstLineChars="0"/>
        <w:jc w:val="right"/>
        <w:rPr>
          <w:rStyle w:val="38"/>
          <w:rFonts w:asciiTheme="minorEastAsia" w:hAnsiTheme="minorEastAsia" w:eastAsiaTheme="minorEastAsia"/>
          <w:color w:val="auto"/>
          <w:kern w:val="4"/>
        </w:rPr>
      </w:pPr>
      <w:r>
        <w:fldChar w:fldCharType="begin"/>
      </w:r>
      <w:r>
        <w:instrText xml:space="preserve"> HYPERLINK \l "_Toc438123184" </w:instrText>
      </w:r>
      <w:r>
        <w:fldChar w:fldCharType="separate"/>
      </w:r>
      <w:r>
        <w:rPr>
          <w:rStyle w:val="38"/>
          <w:rFonts w:asciiTheme="minorEastAsia" w:hAnsiTheme="minorEastAsia" w:eastAsiaTheme="minorEastAsia"/>
          <w:b w:val="0"/>
          <w:color w:val="auto"/>
          <w:kern w:val="4"/>
        </w:rPr>
        <w:t>1.1主要成绩</w:t>
      </w:r>
      <w:r>
        <w:rPr>
          <w:rStyle w:val="38"/>
          <w:rFonts w:asciiTheme="minorEastAsia" w:hAnsiTheme="minorEastAsia" w:eastAsiaTheme="minorEastAsia"/>
          <w:b w:val="0"/>
          <w:color w:val="auto"/>
          <w:kern w:val="4"/>
        </w:rPr>
        <w:tab/>
      </w:r>
      <w:r>
        <w:rPr>
          <w:rStyle w:val="38"/>
          <w:rFonts w:asciiTheme="minorEastAsia" w:hAnsiTheme="minorEastAsia" w:eastAsiaTheme="minorEastAsia"/>
          <w:b w:val="0"/>
          <w:color w:val="auto"/>
          <w:kern w:val="4"/>
        </w:rPr>
        <w:fldChar w:fldCharType="begin"/>
      </w:r>
      <w:r>
        <w:rPr>
          <w:rStyle w:val="38"/>
          <w:rFonts w:asciiTheme="minorEastAsia" w:hAnsiTheme="minorEastAsia" w:eastAsiaTheme="minorEastAsia"/>
          <w:b w:val="0"/>
          <w:color w:val="auto"/>
          <w:kern w:val="4"/>
        </w:rPr>
        <w:instrText xml:space="preserve"> PAGEREF _Toc438123184 \h </w:instrText>
      </w:r>
      <w:r>
        <w:rPr>
          <w:rStyle w:val="38"/>
          <w:rFonts w:asciiTheme="minorEastAsia" w:hAnsiTheme="minorEastAsia" w:eastAsiaTheme="minorEastAsia"/>
          <w:b w:val="0"/>
          <w:color w:val="auto"/>
          <w:kern w:val="4"/>
        </w:rPr>
        <w:fldChar w:fldCharType="separate"/>
      </w:r>
      <w:r>
        <w:rPr>
          <w:rStyle w:val="38"/>
          <w:rFonts w:asciiTheme="minorEastAsia" w:hAnsiTheme="minorEastAsia" w:eastAsiaTheme="minorEastAsia"/>
          <w:b w:val="0"/>
          <w:color w:val="auto"/>
          <w:kern w:val="4"/>
        </w:rPr>
        <w:t>1</w:t>
      </w:r>
      <w:r>
        <w:rPr>
          <w:rStyle w:val="38"/>
          <w:rFonts w:asciiTheme="minorEastAsia" w:hAnsiTheme="minorEastAsia" w:eastAsiaTheme="minorEastAsia"/>
          <w:b w:val="0"/>
          <w:color w:val="auto"/>
          <w:kern w:val="4"/>
        </w:rPr>
        <w:fldChar w:fldCharType="end"/>
      </w:r>
      <w:r>
        <w:rPr>
          <w:rStyle w:val="38"/>
          <w:rFonts w:asciiTheme="minorEastAsia" w:hAnsiTheme="minorEastAsia" w:eastAsiaTheme="minorEastAsia"/>
          <w:b w:val="0"/>
          <w:color w:val="auto"/>
          <w:kern w:val="4"/>
        </w:rPr>
        <w:fldChar w:fldCharType="end"/>
      </w:r>
    </w:p>
    <w:p>
      <w:pPr>
        <w:pStyle w:val="24"/>
        <w:spacing w:line="360" w:lineRule="auto"/>
        <w:ind w:firstLine="0" w:firstLineChars="0"/>
        <w:jc w:val="right"/>
        <w:rPr>
          <w:rStyle w:val="38"/>
          <w:rFonts w:asciiTheme="minorEastAsia" w:hAnsiTheme="minorEastAsia" w:eastAsiaTheme="minorEastAsia"/>
          <w:color w:val="auto"/>
          <w:kern w:val="4"/>
        </w:rPr>
      </w:pPr>
      <w:r>
        <w:fldChar w:fldCharType="begin"/>
      </w:r>
      <w:r>
        <w:instrText xml:space="preserve"> HYPERLINK \l "_Toc438123185" </w:instrText>
      </w:r>
      <w:r>
        <w:fldChar w:fldCharType="separate"/>
      </w:r>
      <w:r>
        <w:rPr>
          <w:rStyle w:val="38"/>
          <w:rFonts w:asciiTheme="minorEastAsia" w:hAnsiTheme="minorEastAsia" w:eastAsiaTheme="minorEastAsia"/>
          <w:b w:val="0"/>
          <w:color w:val="auto"/>
          <w:kern w:val="4"/>
        </w:rPr>
        <w:t>1.2薄弱环节</w:t>
      </w:r>
      <w:r>
        <w:rPr>
          <w:rStyle w:val="38"/>
          <w:rFonts w:asciiTheme="minorEastAsia" w:hAnsiTheme="minorEastAsia" w:eastAsiaTheme="minorEastAsia"/>
          <w:b w:val="0"/>
          <w:color w:val="auto"/>
          <w:kern w:val="4"/>
        </w:rPr>
        <w:tab/>
      </w:r>
      <w:r>
        <w:rPr>
          <w:rStyle w:val="38"/>
          <w:rFonts w:asciiTheme="minorEastAsia" w:hAnsiTheme="minorEastAsia" w:eastAsiaTheme="minorEastAsia"/>
          <w:b w:val="0"/>
          <w:color w:val="auto"/>
          <w:kern w:val="4"/>
        </w:rPr>
        <w:fldChar w:fldCharType="begin"/>
      </w:r>
      <w:r>
        <w:rPr>
          <w:rStyle w:val="38"/>
          <w:rFonts w:asciiTheme="minorEastAsia" w:hAnsiTheme="minorEastAsia" w:eastAsiaTheme="minorEastAsia"/>
          <w:b w:val="0"/>
          <w:color w:val="auto"/>
          <w:kern w:val="4"/>
        </w:rPr>
        <w:instrText xml:space="preserve"> PAGEREF _Toc438123185 \h </w:instrText>
      </w:r>
      <w:r>
        <w:rPr>
          <w:rStyle w:val="38"/>
          <w:rFonts w:asciiTheme="minorEastAsia" w:hAnsiTheme="minorEastAsia" w:eastAsiaTheme="minorEastAsia"/>
          <w:b w:val="0"/>
          <w:color w:val="auto"/>
          <w:kern w:val="4"/>
        </w:rPr>
        <w:fldChar w:fldCharType="separate"/>
      </w:r>
      <w:r>
        <w:rPr>
          <w:rStyle w:val="38"/>
          <w:rFonts w:asciiTheme="minorEastAsia" w:hAnsiTheme="minorEastAsia" w:eastAsiaTheme="minorEastAsia"/>
          <w:b w:val="0"/>
          <w:color w:val="auto"/>
          <w:kern w:val="4"/>
        </w:rPr>
        <w:t>11</w:t>
      </w:r>
      <w:r>
        <w:rPr>
          <w:rStyle w:val="38"/>
          <w:rFonts w:asciiTheme="minorEastAsia" w:hAnsiTheme="minorEastAsia" w:eastAsiaTheme="minorEastAsia"/>
          <w:b w:val="0"/>
          <w:color w:val="auto"/>
          <w:kern w:val="4"/>
        </w:rPr>
        <w:fldChar w:fldCharType="end"/>
      </w:r>
      <w:r>
        <w:rPr>
          <w:rStyle w:val="38"/>
          <w:rFonts w:asciiTheme="minorEastAsia" w:hAnsiTheme="minorEastAsia" w:eastAsiaTheme="minorEastAsia"/>
          <w:b w:val="0"/>
          <w:color w:val="auto"/>
          <w:kern w:val="4"/>
        </w:rPr>
        <w:fldChar w:fldCharType="end"/>
      </w:r>
    </w:p>
    <w:p>
      <w:pPr>
        <w:pStyle w:val="21"/>
        <w:spacing w:before="120" w:after="120"/>
        <w:rPr>
          <w:rStyle w:val="38"/>
          <w:color w:val="auto"/>
          <w:kern w:val="4"/>
        </w:rPr>
      </w:pPr>
      <w:r>
        <w:fldChar w:fldCharType="begin"/>
      </w:r>
      <w:r>
        <w:instrText xml:space="preserve"> HYPERLINK \l "_Toc438123186" </w:instrText>
      </w:r>
      <w:r>
        <w:fldChar w:fldCharType="separate"/>
      </w:r>
      <w:r>
        <w:rPr>
          <w:rStyle w:val="38"/>
          <w:color w:val="auto"/>
          <w:kern w:val="4"/>
        </w:rPr>
        <w:t>第二章 “十三五”发展形势与需求</w:t>
      </w:r>
      <w:r>
        <w:rPr>
          <w:rStyle w:val="38"/>
          <w:color w:val="auto"/>
          <w:kern w:val="4"/>
        </w:rPr>
        <w:tab/>
      </w:r>
      <w:r>
        <w:rPr>
          <w:rStyle w:val="38"/>
          <w:color w:val="auto"/>
          <w:kern w:val="4"/>
        </w:rPr>
        <w:fldChar w:fldCharType="begin"/>
      </w:r>
      <w:r>
        <w:rPr>
          <w:rStyle w:val="38"/>
          <w:color w:val="auto"/>
          <w:kern w:val="4"/>
        </w:rPr>
        <w:instrText xml:space="preserve"> PAGEREF _Toc438123186 \h </w:instrText>
      </w:r>
      <w:r>
        <w:rPr>
          <w:rStyle w:val="38"/>
          <w:color w:val="auto"/>
          <w:kern w:val="4"/>
        </w:rPr>
        <w:fldChar w:fldCharType="separate"/>
      </w:r>
      <w:r>
        <w:rPr>
          <w:rStyle w:val="38"/>
          <w:color w:val="auto"/>
          <w:kern w:val="4"/>
        </w:rPr>
        <w:t>15</w:t>
      </w:r>
      <w:r>
        <w:rPr>
          <w:rStyle w:val="38"/>
          <w:color w:val="auto"/>
          <w:kern w:val="4"/>
        </w:rPr>
        <w:fldChar w:fldCharType="end"/>
      </w:r>
      <w:r>
        <w:rPr>
          <w:rStyle w:val="38"/>
          <w:color w:val="auto"/>
          <w:kern w:val="4"/>
        </w:rPr>
        <w:fldChar w:fldCharType="end"/>
      </w:r>
    </w:p>
    <w:p>
      <w:pPr>
        <w:pStyle w:val="24"/>
        <w:spacing w:line="360" w:lineRule="auto"/>
        <w:ind w:firstLine="0" w:firstLineChars="0"/>
        <w:jc w:val="right"/>
        <w:rPr>
          <w:rStyle w:val="38"/>
          <w:rFonts w:asciiTheme="minorEastAsia" w:hAnsiTheme="minorEastAsia" w:eastAsiaTheme="minorEastAsia"/>
          <w:b w:val="0"/>
          <w:color w:val="auto"/>
          <w:kern w:val="4"/>
        </w:rPr>
      </w:pPr>
      <w:r>
        <w:fldChar w:fldCharType="begin"/>
      </w:r>
      <w:r>
        <w:instrText xml:space="preserve"> HYPERLINK \l "_Toc438123187" </w:instrText>
      </w:r>
      <w:r>
        <w:fldChar w:fldCharType="separate"/>
      </w:r>
      <w:r>
        <w:rPr>
          <w:rStyle w:val="38"/>
          <w:rFonts w:asciiTheme="minorEastAsia" w:hAnsiTheme="minorEastAsia" w:eastAsiaTheme="minorEastAsia"/>
          <w:b w:val="0"/>
          <w:color w:val="auto"/>
          <w:kern w:val="4"/>
        </w:rPr>
        <w:t>2.1形势要求</w:t>
      </w:r>
      <w:r>
        <w:rPr>
          <w:rStyle w:val="38"/>
          <w:rFonts w:asciiTheme="minorEastAsia" w:hAnsiTheme="minorEastAsia" w:eastAsiaTheme="minorEastAsia"/>
          <w:b w:val="0"/>
          <w:color w:val="auto"/>
          <w:kern w:val="4"/>
        </w:rPr>
        <w:tab/>
      </w:r>
      <w:r>
        <w:rPr>
          <w:rStyle w:val="38"/>
          <w:rFonts w:asciiTheme="minorEastAsia" w:hAnsiTheme="minorEastAsia" w:eastAsiaTheme="minorEastAsia"/>
          <w:b w:val="0"/>
          <w:color w:val="auto"/>
          <w:kern w:val="4"/>
        </w:rPr>
        <w:fldChar w:fldCharType="begin"/>
      </w:r>
      <w:r>
        <w:rPr>
          <w:rStyle w:val="38"/>
          <w:rFonts w:asciiTheme="minorEastAsia" w:hAnsiTheme="minorEastAsia" w:eastAsiaTheme="minorEastAsia"/>
          <w:b w:val="0"/>
          <w:color w:val="auto"/>
          <w:kern w:val="4"/>
        </w:rPr>
        <w:instrText xml:space="preserve"> PAGEREF _Toc438123187 \h </w:instrText>
      </w:r>
      <w:r>
        <w:rPr>
          <w:rStyle w:val="38"/>
          <w:rFonts w:asciiTheme="minorEastAsia" w:hAnsiTheme="minorEastAsia" w:eastAsiaTheme="minorEastAsia"/>
          <w:b w:val="0"/>
          <w:color w:val="auto"/>
          <w:kern w:val="4"/>
        </w:rPr>
        <w:fldChar w:fldCharType="separate"/>
      </w:r>
      <w:r>
        <w:rPr>
          <w:rStyle w:val="38"/>
          <w:rFonts w:asciiTheme="minorEastAsia" w:hAnsiTheme="minorEastAsia" w:eastAsiaTheme="minorEastAsia"/>
          <w:b w:val="0"/>
          <w:color w:val="auto"/>
          <w:kern w:val="4"/>
        </w:rPr>
        <w:t>15</w:t>
      </w:r>
      <w:r>
        <w:rPr>
          <w:rStyle w:val="38"/>
          <w:rFonts w:asciiTheme="minorEastAsia" w:hAnsiTheme="minorEastAsia" w:eastAsiaTheme="minorEastAsia"/>
          <w:b w:val="0"/>
          <w:color w:val="auto"/>
          <w:kern w:val="4"/>
        </w:rPr>
        <w:fldChar w:fldCharType="end"/>
      </w:r>
      <w:r>
        <w:rPr>
          <w:rStyle w:val="38"/>
          <w:rFonts w:asciiTheme="minorEastAsia" w:hAnsiTheme="minorEastAsia" w:eastAsiaTheme="minorEastAsia"/>
          <w:b w:val="0"/>
          <w:color w:val="auto"/>
          <w:kern w:val="4"/>
        </w:rPr>
        <w:fldChar w:fldCharType="end"/>
      </w:r>
    </w:p>
    <w:p>
      <w:pPr>
        <w:pStyle w:val="24"/>
        <w:spacing w:line="360" w:lineRule="auto"/>
        <w:ind w:firstLine="0" w:firstLineChars="0"/>
        <w:jc w:val="right"/>
        <w:rPr>
          <w:rStyle w:val="38"/>
          <w:rFonts w:asciiTheme="minorEastAsia" w:hAnsiTheme="minorEastAsia" w:eastAsiaTheme="minorEastAsia"/>
          <w:b w:val="0"/>
          <w:color w:val="auto"/>
          <w:kern w:val="4"/>
        </w:rPr>
      </w:pPr>
      <w:r>
        <w:fldChar w:fldCharType="begin"/>
      </w:r>
      <w:r>
        <w:instrText xml:space="preserve"> HYPERLINK \l "_Toc438123188" </w:instrText>
      </w:r>
      <w:r>
        <w:fldChar w:fldCharType="separate"/>
      </w:r>
      <w:r>
        <w:rPr>
          <w:rStyle w:val="38"/>
          <w:rFonts w:asciiTheme="minorEastAsia" w:hAnsiTheme="minorEastAsia" w:eastAsiaTheme="minorEastAsia"/>
          <w:b w:val="0"/>
          <w:color w:val="auto"/>
          <w:kern w:val="4"/>
        </w:rPr>
        <w:t>2.2需求预测</w:t>
      </w:r>
      <w:r>
        <w:rPr>
          <w:rStyle w:val="38"/>
          <w:rFonts w:asciiTheme="minorEastAsia" w:hAnsiTheme="minorEastAsia" w:eastAsiaTheme="minorEastAsia"/>
          <w:b w:val="0"/>
          <w:color w:val="auto"/>
          <w:kern w:val="4"/>
        </w:rPr>
        <w:tab/>
      </w:r>
      <w:r>
        <w:rPr>
          <w:rStyle w:val="38"/>
          <w:rFonts w:asciiTheme="minorEastAsia" w:hAnsiTheme="minorEastAsia" w:eastAsiaTheme="minorEastAsia"/>
          <w:b w:val="0"/>
          <w:color w:val="auto"/>
          <w:kern w:val="4"/>
        </w:rPr>
        <w:fldChar w:fldCharType="begin"/>
      </w:r>
      <w:r>
        <w:rPr>
          <w:rStyle w:val="38"/>
          <w:rFonts w:asciiTheme="minorEastAsia" w:hAnsiTheme="minorEastAsia" w:eastAsiaTheme="minorEastAsia"/>
          <w:b w:val="0"/>
          <w:color w:val="auto"/>
          <w:kern w:val="4"/>
        </w:rPr>
        <w:instrText xml:space="preserve"> PAGEREF _Toc438123188 \h </w:instrText>
      </w:r>
      <w:r>
        <w:rPr>
          <w:rStyle w:val="38"/>
          <w:rFonts w:asciiTheme="minorEastAsia" w:hAnsiTheme="minorEastAsia" w:eastAsiaTheme="minorEastAsia"/>
          <w:b w:val="0"/>
          <w:color w:val="auto"/>
          <w:kern w:val="4"/>
        </w:rPr>
        <w:fldChar w:fldCharType="separate"/>
      </w:r>
      <w:r>
        <w:rPr>
          <w:rStyle w:val="38"/>
          <w:rFonts w:asciiTheme="minorEastAsia" w:hAnsiTheme="minorEastAsia" w:eastAsiaTheme="minorEastAsia"/>
          <w:b w:val="0"/>
          <w:color w:val="auto"/>
          <w:kern w:val="4"/>
        </w:rPr>
        <w:t>20</w:t>
      </w:r>
      <w:r>
        <w:rPr>
          <w:rStyle w:val="38"/>
          <w:rFonts w:asciiTheme="minorEastAsia" w:hAnsiTheme="minorEastAsia" w:eastAsiaTheme="minorEastAsia"/>
          <w:b w:val="0"/>
          <w:color w:val="auto"/>
          <w:kern w:val="4"/>
        </w:rPr>
        <w:fldChar w:fldCharType="end"/>
      </w:r>
      <w:r>
        <w:rPr>
          <w:rStyle w:val="38"/>
          <w:rFonts w:asciiTheme="minorEastAsia" w:hAnsiTheme="minorEastAsia" w:eastAsiaTheme="minorEastAsia"/>
          <w:b w:val="0"/>
          <w:color w:val="auto"/>
          <w:kern w:val="4"/>
        </w:rPr>
        <w:fldChar w:fldCharType="end"/>
      </w:r>
    </w:p>
    <w:p>
      <w:pPr>
        <w:pStyle w:val="21"/>
        <w:spacing w:before="120" w:after="120"/>
        <w:rPr>
          <w:rStyle w:val="38"/>
          <w:color w:val="auto"/>
          <w:kern w:val="4"/>
        </w:rPr>
      </w:pPr>
      <w:r>
        <w:fldChar w:fldCharType="begin"/>
      </w:r>
      <w:r>
        <w:instrText xml:space="preserve"> HYPERLINK \l "_Toc438123191" </w:instrText>
      </w:r>
      <w:r>
        <w:fldChar w:fldCharType="separate"/>
      </w:r>
      <w:r>
        <w:rPr>
          <w:rStyle w:val="38"/>
          <w:color w:val="auto"/>
          <w:kern w:val="4"/>
        </w:rPr>
        <w:t>第三章 “十三五”发展思路与目标</w:t>
      </w:r>
      <w:r>
        <w:rPr>
          <w:rStyle w:val="38"/>
          <w:color w:val="auto"/>
          <w:kern w:val="4"/>
        </w:rPr>
        <w:tab/>
      </w:r>
      <w:r>
        <w:rPr>
          <w:rStyle w:val="38"/>
          <w:color w:val="auto"/>
          <w:kern w:val="4"/>
        </w:rPr>
        <w:fldChar w:fldCharType="begin"/>
      </w:r>
      <w:r>
        <w:rPr>
          <w:rStyle w:val="38"/>
          <w:color w:val="auto"/>
          <w:kern w:val="4"/>
        </w:rPr>
        <w:instrText xml:space="preserve"> PAGEREF _Toc438123191 \h </w:instrText>
      </w:r>
      <w:r>
        <w:rPr>
          <w:rStyle w:val="38"/>
          <w:color w:val="auto"/>
          <w:kern w:val="4"/>
        </w:rPr>
        <w:fldChar w:fldCharType="separate"/>
      </w:r>
      <w:r>
        <w:rPr>
          <w:rStyle w:val="38"/>
          <w:color w:val="auto"/>
          <w:kern w:val="4"/>
        </w:rPr>
        <w:t>23</w:t>
      </w:r>
      <w:r>
        <w:rPr>
          <w:rStyle w:val="38"/>
          <w:color w:val="auto"/>
          <w:kern w:val="4"/>
        </w:rPr>
        <w:fldChar w:fldCharType="end"/>
      </w:r>
      <w:r>
        <w:rPr>
          <w:rStyle w:val="38"/>
          <w:color w:val="auto"/>
          <w:kern w:val="4"/>
        </w:rPr>
        <w:fldChar w:fldCharType="end"/>
      </w:r>
    </w:p>
    <w:p>
      <w:pPr>
        <w:pStyle w:val="24"/>
        <w:spacing w:line="360" w:lineRule="auto"/>
        <w:ind w:firstLine="0" w:firstLineChars="0"/>
        <w:jc w:val="right"/>
        <w:rPr>
          <w:rStyle w:val="38"/>
          <w:rFonts w:asciiTheme="minorEastAsia" w:hAnsiTheme="minorEastAsia" w:eastAsiaTheme="minorEastAsia"/>
          <w:b w:val="0"/>
          <w:color w:val="auto"/>
          <w:kern w:val="4"/>
        </w:rPr>
      </w:pPr>
      <w:r>
        <w:fldChar w:fldCharType="begin"/>
      </w:r>
      <w:r>
        <w:instrText xml:space="preserve"> HYPERLINK \l "_Toc438123192" </w:instrText>
      </w:r>
      <w:r>
        <w:fldChar w:fldCharType="separate"/>
      </w:r>
      <w:r>
        <w:rPr>
          <w:rStyle w:val="38"/>
          <w:rFonts w:asciiTheme="minorEastAsia" w:hAnsiTheme="minorEastAsia" w:eastAsiaTheme="minorEastAsia"/>
          <w:b w:val="0"/>
          <w:color w:val="auto"/>
          <w:kern w:val="4"/>
        </w:rPr>
        <w:t>3.1指导思想</w:t>
      </w:r>
      <w:r>
        <w:rPr>
          <w:rStyle w:val="38"/>
          <w:rFonts w:asciiTheme="minorEastAsia" w:hAnsiTheme="minorEastAsia" w:eastAsiaTheme="minorEastAsia"/>
          <w:b w:val="0"/>
          <w:color w:val="auto"/>
          <w:kern w:val="4"/>
        </w:rPr>
        <w:tab/>
      </w:r>
      <w:r>
        <w:rPr>
          <w:rStyle w:val="38"/>
          <w:rFonts w:asciiTheme="minorEastAsia" w:hAnsiTheme="minorEastAsia" w:eastAsiaTheme="minorEastAsia"/>
          <w:b w:val="0"/>
          <w:color w:val="auto"/>
          <w:kern w:val="4"/>
        </w:rPr>
        <w:fldChar w:fldCharType="begin"/>
      </w:r>
      <w:r>
        <w:rPr>
          <w:rStyle w:val="38"/>
          <w:rFonts w:asciiTheme="minorEastAsia" w:hAnsiTheme="minorEastAsia" w:eastAsiaTheme="minorEastAsia"/>
          <w:b w:val="0"/>
          <w:color w:val="auto"/>
          <w:kern w:val="4"/>
        </w:rPr>
        <w:instrText xml:space="preserve"> PAGEREF _Toc438123192 \h </w:instrText>
      </w:r>
      <w:r>
        <w:rPr>
          <w:rStyle w:val="38"/>
          <w:rFonts w:asciiTheme="minorEastAsia" w:hAnsiTheme="minorEastAsia" w:eastAsiaTheme="minorEastAsia"/>
          <w:b w:val="0"/>
          <w:color w:val="auto"/>
          <w:kern w:val="4"/>
        </w:rPr>
        <w:fldChar w:fldCharType="separate"/>
      </w:r>
      <w:r>
        <w:rPr>
          <w:rStyle w:val="38"/>
          <w:rFonts w:asciiTheme="minorEastAsia" w:hAnsiTheme="minorEastAsia" w:eastAsiaTheme="minorEastAsia"/>
          <w:b w:val="0"/>
          <w:color w:val="auto"/>
          <w:kern w:val="4"/>
        </w:rPr>
        <w:t>23</w:t>
      </w:r>
      <w:r>
        <w:rPr>
          <w:rStyle w:val="38"/>
          <w:rFonts w:asciiTheme="minorEastAsia" w:hAnsiTheme="minorEastAsia" w:eastAsiaTheme="minorEastAsia"/>
          <w:b w:val="0"/>
          <w:color w:val="auto"/>
          <w:kern w:val="4"/>
        </w:rPr>
        <w:fldChar w:fldCharType="end"/>
      </w:r>
      <w:r>
        <w:rPr>
          <w:rStyle w:val="38"/>
          <w:rFonts w:asciiTheme="minorEastAsia" w:hAnsiTheme="minorEastAsia" w:eastAsiaTheme="minorEastAsia"/>
          <w:b w:val="0"/>
          <w:color w:val="auto"/>
          <w:kern w:val="4"/>
        </w:rPr>
        <w:fldChar w:fldCharType="end"/>
      </w:r>
    </w:p>
    <w:p>
      <w:pPr>
        <w:pStyle w:val="24"/>
        <w:spacing w:line="360" w:lineRule="auto"/>
        <w:ind w:firstLine="0" w:firstLineChars="0"/>
        <w:jc w:val="right"/>
        <w:rPr>
          <w:rStyle w:val="38"/>
          <w:rFonts w:asciiTheme="minorEastAsia" w:hAnsiTheme="minorEastAsia" w:eastAsiaTheme="minorEastAsia"/>
          <w:b w:val="0"/>
          <w:color w:val="auto"/>
          <w:kern w:val="4"/>
        </w:rPr>
      </w:pPr>
      <w:r>
        <w:fldChar w:fldCharType="begin"/>
      </w:r>
      <w:r>
        <w:instrText xml:space="preserve"> HYPERLINK \l "_Toc438123193" </w:instrText>
      </w:r>
      <w:r>
        <w:fldChar w:fldCharType="separate"/>
      </w:r>
      <w:r>
        <w:rPr>
          <w:rStyle w:val="38"/>
          <w:rFonts w:asciiTheme="minorEastAsia" w:hAnsiTheme="minorEastAsia" w:eastAsiaTheme="minorEastAsia"/>
          <w:b w:val="0"/>
          <w:color w:val="auto"/>
          <w:kern w:val="4"/>
        </w:rPr>
        <w:t>3.2基本原则</w:t>
      </w:r>
      <w:r>
        <w:rPr>
          <w:rStyle w:val="38"/>
          <w:rFonts w:asciiTheme="minorEastAsia" w:hAnsiTheme="minorEastAsia" w:eastAsiaTheme="minorEastAsia"/>
          <w:b w:val="0"/>
          <w:color w:val="auto"/>
          <w:kern w:val="4"/>
        </w:rPr>
        <w:tab/>
      </w:r>
      <w:r>
        <w:rPr>
          <w:rStyle w:val="38"/>
          <w:rFonts w:asciiTheme="minorEastAsia" w:hAnsiTheme="minorEastAsia" w:eastAsiaTheme="minorEastAsia"/>
          <w:b w:val="0"/>
          <w:color w:val="auto"/>
          <w:kern w:val="4"/>
        </w:rPr>
        <w:fldChar w:fldCharType="begin"/>
      </w:r>
      <w:r>
        <w:rPr>
          <w:rStyle w:val="38"/>
          <w:rFonts w:asciiTheme="minorEastAsia" w:hAnsiTheme="minorEastAsia" w:eastAsiaTheme="minorEastAsia"/>
          <w:b w:val="0"/>
          <w:color w:val="auto"/>
          <w:kern w:val="4"/>
        </w:rPr>
        <w:instrText xml:space="preserve"> PAGEREF _Toc438123193 \h </w:instrText>
      </w:r>
      <w:r>
        <w:rPr>
          <w:rStyle w:val="38"/>
          <w:rFonts w:asciiTheme="minorEastAsia" w:hAnsiTheme="minorEastAsia" w:eastAsiaTheme="minorEastAsia"/>
          <w:b w:val="0"/>
          <w:color w:val="auto"/>
          <w:kern w:val="4"/>
        </w:rPr>
        <w:fldChar w:fldCharType="separate"/>
      </w:r>
      <w:r>
        <w:rPr>
          <w:rStyle w:val="38"/>
          <w:rFonts w:asciiTheme="minorEastAsia" w:hAnsiTheme="minorEastAsia" w:eastAsiaTheme="minorEastAsia"/>
          <w:b w:val="0"/>
          <w:color w:val="auto"/>
          <w:kern w:val="4"/>
        </w:rPr>
        <w:t>23</w:t>
      </w:r>
      <w:r>
        <w:rPr>
          <w:rStyle w:val="38"/>
          <w:rFonts w:asciiTheme="minorEastAsia" w:hAnsiTheme="minorEastAsia" w:eastAsiaTheme="minorEastAsia"/>
          <w:b w:val="0"/>
          <w:color w:val="auto"/>
          <w:kern w:val="4"/>
        </w:rPr>
        <w:fldChar w:fldCharType="end"/>
      </w:r>
      <w:r>
        <w:rPr>
          <w:rStyle w:val="38"/>
          <w:rFonts w:asciiTheme="minorEastAsia" w:hAnsiTheme="minorEastAsia" w:eastAsiaTheme="minorEastAsia"/>
          <w:b w:val="0"/>
          <w:color w:val="auto"/>
          <w:kern w:val="4"/>
        </w:rPr>
        <w:fldChar w:fldCharType="end"/>
      </w:r>
    </w:p>
    <w:p>
      <w:pPr>
        <w:pStyle w:val="24"/>
        <w:spacing w:line="360" w:lineRule="auto"/>
        <w:ind w:firstLine="0" w:firstLineChars="0"/>
        <w:jc w:val="right"/>
        <w:rPr>
          <w:rStyle w:val="38"/>
          <w:rFonts w:asciiTheme="minorEastAsia" w:hAnsiTheme="minorEastAsia" w:eastAsiaTheme="minorEastAsia"/>
          <w:b w:val="0"/>
          <w:color w:val="auto"/>
          <w:kern w:val="4"/>
        </w:rPr>
      </w:pPr>
      <w:r>
        <w:fldChar w:fldCharType="begin"/>
      </w:r>
      <w:r>
        <w:instrText xml:space="preserve"> HYPERLINK \l "_Toc438123194" </w:instrText>
      </w:r>
      <w:r>
        <w:fldChar w:fldCharType="separate"/>
      </w:r>
      <w:r>
        <w:rPr>
          <w:rStyle w:val="38"/>
          <w:rFonts w:asciiTheme="minorEastAsia" w:hAnsiTheme="minorEastAsia" w:eastAsiaTheme="minorEastAsia"/>
          <w:b w:val="0"/>
          <w:color w:val="auto"/>
          <w:kern w:val="4"/>
        </w:rPr>
        <w:t>3.3发展目标</w:t>
      </w:r>
      <w:r>
        <w:rPr>
          <w:rStyle w:val="38"/>
          <w:rFonts w:asciiTheme="minorEastAsia" w:hAnsiTheme="minorEastAsia" w:eastAsiaTheme="minorEastAsia"/>
          <w:b w:val="0"/>
          <w:color w:val="auto"/>
          <w:kern w:val="4"/>
        </w:rPr>
        <w:tab/>
      </w:r>
      <w:r>
        <w:rPr>
          <w:rStyle w:val="38"/>
          <w:rFonts w:asciiTheme="minorEastAsia" w:hAnsiTheme="minorEastAsia" w:eastAsiaTheme="minorEastAsia"/>
          <w:b w:val="0"/>
          <w:color w:val="auto"/>
          <w:kern w:val="4"/>
        </w:rPr>
        <w:fldChar w:fldCharType="begin"/>
      </w:r>
      <w:r>
        <w:rPr>
          <w:rStyle w:val="38"/>
          <w:rFonts w:asciiTheme="minorEastAsia" w:hAnsiTheme="minorEastAsia" w:eastAsiaTheme="minorEastAsia"/>
          <w:b w:val="0"/>
          <w:color w:val="auto"/>
          <w:kern w:val="4"/>
        </w:rPr>
        <w:instrText xml:space="preserve"> PAGEREF _Toc438123194 \h </w:instrText>
      </w:r>
      <w:r>
        <w:rPr>
          <w:rStyle w:val="38"/>
          <w:rFonts w:asciiTheme="minorEastAsia" w:hAnsiTheme="minorEastAsia" w:eastAsiaTheme="minorEastAsia"/>
          <w:b w:val="0"/>
          <w:color w:val="auto"/>
          <w:kern w:val="4"/>
        </w:rPr>
        <w:fldChar w:fldCharType="separate"/>
      </w:r>
      <w:r>
        <w:rPr>
          <w:rStyle w:val="38"/>
          <w:rFonts w:asciiTheme="minorEastAsia" w:hAnsiTheme="minorEastAsia" w:eastAsiaTheme="minorEastAsia"/>
          <w:b w:val="0"/>
          <w:color w:val="auto"/>
          <w:kern w:val="4"/>
        </w:rPr>
        <w:t>24</w:t>
      </w:r>
      <w:r>
        <w:rPr>
          <w:rStyle w:val="38"/>
          <w:rFonts w:asciiTheme="minorEastAsia" w:hAnsiTheme="minorEastAsia" w:eastAsiaTheme="minorEastAsia"/>
          <w:b w:val="0"/>
          <w:color w:val="auto"/>
          <w:kern w:val="4"/>
        </w:rPr>
        <w:fldChar w:fldCharType="end"/>
      </w:r>
      <w:r>
        <w:rPr>
          <w:rStyle w:val="38"/>
          <w:rFonts w:asciiTheme="minorEastAsia" w:hAnsiTheme="minorEastAsia" w:eastAsiaTheme="minorEastAsia"/>
          <w:b w:val="0"/>
          <w:color w:val="auto"/>
          <w:kern w:val="4"/>
        </w:rPr>
        <w:fldChar w:fldCharType="end"/>
      </w:r>
    </w:p>
    <w:p>
      <w:pPr>
        <w:pStyle w:val="21"/>
        <w:spacing w:before="120" w:after="120"/>
        <w:rPr>
          <w:rStyle w:val="38"/>
          <w:color w:val="auto"/>
          <w:kern w:val="4"/>
        </w:rPr>
      </w:pPr>
      <w:r>
        <w:fldChar w:fldCharType="begin"/>
      </w:r>
      <w:r>
        <w:instrText xml:space="preserve"> HYPERLINK \l "_Toc438123195" </w:instrText>
      </w:r>
      <w:r>
        <w:fldChar w:fldCharType="separate"/>
      </w:r>
      <w:r>
        <w:rPr>
          <w:rStyle w:val="38"/>
          <w:color w:val="auto"/>
          <w:kern w:val="4"/>
        </w:rPr>
        <w:t>第四章 “十三五”发展重点与任务</w:t>
      </w:r>
      <w:r>
        <w:rPr>
          <w:rStyle w:val="38"/>
          <w:color w:val="auto"/>
          <w:kern w:val="4"/>
        </w:rPr>
        <w:tab/>
      </w:r>
      <w:r>
        <w:rPr>
          <w:rStyle w:val="38"/>
          <w:color w:val="auto"/>
          <w:kern w:val="4"/>
        </w:rPr>
        <w:fldChar w:fldCharType="begin"/>
      </w:r>
      <w:r>
        <w:rPr>
          <w:rStyle w:val="38"/>
          <w:color w:val="auto"/>
          <w:kern w:val="4"/>
        </w:rPr>
        <w:instrText xml:space="preserve"> PAGEREF _Toc438123195 \h </w:instrText>
      </w:r>
      <w:r>
        <w:rPr>
          <w:rStyle w:val="38"/>
          <w:color w:val="auto"/>
          <w:kern w:val="4"/>
        </w:rPr>
        <w:fldChar w:fldCharType="separate"/>
      </w:r>
      <w:r>
        <w:rPr>
          <w:rStyle w:val="38"/>
          <w:color w:val="auto"/>
          <w:kern w:val="4"/>
        </w:rPr>
        <w:t>28</w:t>
      </w:r>
      <w:r>
        <w:rPr>
          <w:rStyle w:val="38"/>
          <w:color w:val="auto"/>
          <w:kern w:val="4"/>
        </w:rPr>
        <w:fldChar w:fldCharType="end"/>
      </w:r>
      <w:r>
        <w:rPr>
          <w:rStyle w:val="38"/>
          <w:color w:val="auto"/>
          <w:kern w:val="4"/>
        </w:rPr>
        <w:fldChar w:fldCharType="end"/>
      </w:r>
    </w:p>
    <w:p>
      <w:pPr>
        <w:pStyle w:val="24"/>
        <w:spacing w:line="360" w:lineRule="auto"/>
        <w:ind w:firstLine="0" w:firstLineChars="0"/>
        <w:jc w:val="right"/>
        <w:rPr>
          <w:rStyle w:val="38"/>
          <w:rFonts w:asciiTheme="minorEastAsia" w:hAnsiTheme="minorEastAsia" w:eastAsiaTheme="minorEastAsia"/>
          <w:b w:val="0"/>
          <w:color w:val="auto"/>
          <w:kern w:val="4"/>
        </w:rPr>
      </w:pPr>
      <w:r>
        <w:fldChar w:fldCharType="begin"/>
      </w:r>
      <w:r>
        <w:instrText xml:space="preserve"> HYPERLINK \l "_Toc438123196" </w:instrText>
      </w:r>
      <w:r>
        <w:fldChar w:fldCharType="separate"/>
      </w:r>
      <w:r>
        <w:rPr>
          <w:rStyle w:val="38"/>
          <w:rFonts w:asciiTheme="minorEastAsia" w:hAnsiTheme="minorEastAsia" w:eastAsiaTheme="minorEastAsia"/>
          <w:b w:val="0"/>
          <w:color w:val="auto"/>
          <w:kern w:val="4"/>
        </w:rPr>
        <w:t>4.1建成能力充分、结构合理的交通基础设施体系</w:t>
      </w:r>
      <w:r>
        <w:rPr>
          <w:rStyle w:val="38"/>
          <w:rFonts w:asciiTheme="minorEastAsia" w:hAnsiTheme="minorEastAsia" w:eastAsiaTheme="minorEastAsia"/>
          <w:b w:val="0"/>
          <w:color w:val="auto"/>
          <w:kern w:val="4"/>
        </w:rPr>
        <w:tab/>
      </w:r>
      <w:r>
        <w:rPr>
          <w:rStyle w:val="38"/>
          <w:rFonts w:asciiTheme="minorEastAsia" w:hAnsiTheme="minorEastAsia" w:eastAsiaTheme="minorEastAsia"/>
          <w:b w:val="0"/>
          <w:color w:val="auto"/>
          <w:kern w:val="4"/>
        </w:rPr>
        <w:fldChar w:fldCharType="begin"/>
      </w:r>
      <w:r>
        <w:rPr>
          <w:rStyle w:val="38"/>
          <w:rFonts w:asciiTheme="minorEastAsia" w:hAnsiTheme="minorEastAsia" w:eastAsiaTheme="minorEastAsia"/>
          <w:b w:val="0"/>
          <w:color w:val="auto"/>
          <w:kern w:val="4"/>
        </w:rPr>
        <w:instrText xml:space="preserve"> PAGEREF _Toc438123196 \h </w:instrText>
      </w:r>
      <w:r>
        <w:rPr>
          <w:rStyle w:val="38"/>
          <w:rFonts w:asciiTheme="minorEastAsia" w:hAnsiTheme="minorEastAsia" w:eastAsiaTheme="minorEastAsia"/>
          <w:b w:val="0"/>
          <w:color w:val="auto"/>
          <w:kern w:val="4"/>
        </w:rPr>
        <w:fldChar w:fldCharType="separate"/>
      </w:r>
      <w:r>
        <w:rPr>
          <w:rStyle w:val="38"/>
          <w:rFonts w:asciiTheme="minorEastAsia" w:hAnsiTheme="minorEastAsia" w:eastAsiaTheme="minorEastAsia"/>
          <w:b w:val="0"/>
          <w:color w:val="auto"/>
          <w:kern w:val="4"/>
        </w:rPr>
        <w:t>28</w:t>
      </w:r>
      <w:r>
        <w:rPr>
          <w:rStyle w:val="38"/>
          <w:rFonts w:asciiTheme="minorEastAsia" w:hAnsiTheme="minorEastAsia" w:eastAsiaTheme="minorEastAsia"/>
          <w:b w:val="0"/>
          <w:color w:val="auto"/>
          <w:kern w:val="4"/>
        </w:rPr>
        <w:fldChar w:fldCharType="end"/>
      </w:r>
      <w:r>
        <w:rPr>
          <w:rStyle w:val="38"/>
          <w:rFonts w:asciiTheme="minorEastAsia" w:hAnsiTheme="minorEastAsia" w:eastAsiaTheme="minorEastAsia"/>
          <w:b w:val="0"/>
          <w:color w:val="auto"/>
          <w:kern w:val="4"/>
        </w:rPr>
        <w:fldChar w:fldCharType="end"/>
      </w:r>
    </w:p>
    <w:p>
      <w:pPr>
        <w:pStyle w:val="24"/>
        <w:spacing w:line="360" w:lineRule="auto"/>
        <w:ind w:firstLine="0" w:firstLineChars="0"/>
        <w:jc w:val="right"/>
        <w:rPr>
          <w:rStyle w:val="38"/>
          <w:rFonts w:asciiTheme="minorEastAsia" w:hAnsiTheme="minorEastAsia" w:eastAsiaTheme="minorEastAsia"/>
          <w:b w:val="0"/>
          <w:color w:val="auto"/>
          <w:kern w:val="4"/>
        </w:rPr>
      </w:pPr>
      <w:r>
        <w:fldChar w:fldCharType="begin"/>
      </w:r>
      <w:r>
        <w:instrText xml:space="preserve"> HYPERLINK \l "_Toc438123203" </w:instrText>
      </w:r>
      <w:r>
        <w:fldChar w:fldCharType="separate"/>
      </w:r>
      <w:r>
        <w:rPr>
          <w:rStyle w:val="38"/>
          <w:rFonts w:asciiTheme="minorEastAsia" w:hAnsiTheme="minorEastAsia" w:eastAsiaTheme="minorEastAsia"/>
          <w:b w:val="0"/>
          <w:color w:val="auto"/>
          <w:kern w:val="4"/>
        </w:rPr>
        <w:t>4.2打造便捷舒适、经济高效的交通运输服务体系</w:t>
      </w:r>
      <w:r>
        <w:rPr>
          <w:rStyle w:val="38"/>
          <w:rFonts w:asciiTheme="minorEastAsia" w:hAnsiTheme="minorEastAsia" w:eastAsiaTheme="minorEastAsia"/>
          <w:b w:val="0"/>
          <w:color w:val="auto"/>
          <w:kern w:val="4"/>
        </w:rPr>
        <w:tab/>
      </w:r>
      <w:r>
        <w:rPr>
          <w:rStyle w:val="38"/>
          <w:rFonts w:asciiTheme="minorEastAsia" w:hAnsiTheme="minorEastAsia" w:eastAsiaTheme="minorEastAsia"/>
          <w:b w:val="0"/>
          <w:color w:val="auto"/>
          <w:kern w:val="4"/>
        </w:rPr>
        <w:fldChar w:fldCharType="begin"/>
      </w:r>
      <w:r>
        <w:rPr>
          <w:rStyle w:val="38"/>
          <w:rFonts w:asciiTheme="minorEastAsia" w:hAnsiTheme="minorEastAsia" w:eastAsiaTheme="minorEastAsia"/>
          <w:b w:val="0"/>
          <w:color w:val="auto"/>
          <w:kern w:val="4"/>
        </w:rPr>
        <w:instrText xml:space="preserve"> PAGEREF _Toc438123203 \h </w:instrText>
      </w:r>
      <w:r>
        <w:rPr>
          <w:rStyle w:val="38"/>
          <w:rFonts w:asciiTheme="minorEastAsia" w:hAnsiTheme="minorEastAsia" w:eastAsiaTheme="minorEastAsia"/>
          <w:b w:val="0"/>
          <w:color w:val="auto"/>
          <w:kern w:val="4"/>
        </w:rPr>
        <w:fldChar w:fldCharType="separate"/>
      </w:r>
      <w:r>
        <w:rPr>
          <w:rStyle w:val="38"/>
          <w:rFonts w:asciiTheme="minorEastAsia" w:hAnsiTheme="minorEastAsia" w:eastAsiaTheme="minorEastAsia"/>
          <w:b w:val="0"/>
          <w:color w:val="auto"/>
          <w:kern w:val="4"/>
        </w:rPr>
        <w:t>42</w:t>
      </w:r>
      <w:r>
        <w:rPr>
          <w:rStyle w:val="38"/>
          <w:rFonts w:asciiTheme="minorEastAsia" w:hAnsiTheme="minorEastAsia" w:eastAsiaTheme="minorEastAsia"/>
          <w:b w:val="0"/>
          <w:color w:val="auto"/>
          <w:kern w:val="4"/>
        </w:rPr>
        <w:fldChar w:fldCharType="end"/>
      </w:r>
      <w:r>
        <w:rPr>
          <w:rStyle w:val="38"/>
          <w:rFonts w:asciiTheme="minorEastAsia" w:hAnsiTheme="minorEastAsia" w:eastAsiaTheme="minorEastAsia"/>
          <w:b w:val="0"/>
          <w:color w:val="auto"/>
          <w:kern w:val="4"/>
        </w:rPr>
        <w:fldChar w:fldCharType="end"/>
      </w:r>
    </w:p>
    <w:p>
      <w:pPr>
        <w:pStyle w:val="24"/>
        <w:spacing w:line="360" w:lineRule="auto"/>
        <w:ind w:firstLine="0" w:firstLineChars="0"/>
        <w:jc w:val="right"/>
        <w:rPr>
          <w:rStyle w:val="38"/>
          <w:rFonts w:asciiTheme="minorEastAsia" w:hAnsiTheme="minorEastAsia" w:eastAsiaTheme="minorEastAsia"/>
          <w:b w:val="0"/>
          <w:color w:val="auto"/>
          <w:kern w:val="4"/>
        </w:rPr>
      </w:pPr>
      <w:r>
        <w:fldChar w:fldCharType="begin"/>
      </w:r>
      <w:r>
        <w:instrText xml:space="preserve"> HYPERLINK \l "_Toc438123207" </w:instrText>
      </w:r>
      <w:r>
        <w:fldChar w:fldCharType="separate"/>
      </w:r>
      <w:r>
        <w:rPr>
          <w:rStyle w:val="38"/>
          <w:rFonts w:asciiTheme="minorEastAsia" w:hAnsiTheme="minorEastAsia" w:eastAsiaTheme="minorEastAsia"/>
          <w:b w:val="0"/>
          <w:color w:val="auto"/>
          <w:kern w:val="4"/>
        </w:rPr>
        <w:t>4.3形成科学规范、保障有力的交通行业管理体系</w:t>
      </w:r>
      <w:r>
        <w:rPr>
          <w:rStyle w:val="38"/>
          <w:rFonts w:asciiTheme="minorEastAsia" w:hAnsiTheme="minorEastAsia" w:eastAsiaTheme="minorEastAsia"/>
          <w:b w:val="0"/>
          <w:color w:val="auto"/>
          <w:kern w:val="4"/>
        </w:rPr>
        <w:tab/>
      </w:r>
      <w:r>
        <w:rPr>
          <w:rStyle w:val="38"/>
          <w:rFonts w:asciiTheme="minorEastAsia" w:hAnsiTheme="minorEastAsia" w:eastAsiaTheme="minorEastAsia"/>
          <w:b w:val="0"/>
          <w:color w:val="auto"/>
          <w:kern w:val="4"/>
        </w:rPr>
        <w:fldChar w:fldCharType="begin"/>
      </w:r>
      <w:r>
        <w:rPr>
          <w:rStyle w:val="38"/>
          <w:rFonts w:asciiTheme="minorEastAsia" w:hAnsiTheme="minorEastAsia" w:eastAsiaTheme="minorEastAsia"/>
          <w:b w:val="0"/>
          <w:color w:val="auto"/>
          <w:kern w:val="4"/>
        </w:rPr>
        <w:instrText xml:space="preserve"> PAGEREF _Toc438123207 \h </w:instrText>
      </w:r>
      <w:r>
        <w:rPr>
          <w:rStyle w:val="38"/>
          <w:rFonts w:asciiTheme="minorEastAsia" w:hAnsiTheme="minorEastAsia" w:eastAsiaTheme="minorEastAsia"/>
          <w:b w:val="0"/>
          <w:color w:val="auto"/>
          <w:kern w:val="4"/>
        </w:rPr>
        <w:fldChar w:fldCharType="separate"/>
      </w:r>
      <w:r>
        <w:rPr>
          <w:rStyle w:val="38"/>
          <w:rFonts w:asciiTheme="minorEastAsia" w:hAnsiTheme="minorEastAsia" w:eastAsiaTheme="minorEastAsia"/>
          <w:b w:val="0"/>
          <w:color w:val="auto"/>
          <w:kern w:val="4"/>
        </w:rPr>
        <w:t>52</w:t>
      </w:r>
      <w:r>
        <w:rPr>
          <w:rStyle w:val="38"/>
          <w:rFonts w:asciiTheme="minorEastAsia" w:hAnsiTheme="minorEastAsia" w:eastAsiaTheme="minorEastAsia"/>
          <w:b w:val="0"/>
          <w:color w:val="auto"/>
          <w:kern w:val="4"/>
        </w:rPr>
        <w:fldChar w:fldCharType="end"/>
      </w:r>
      <w:r>
        <w:rPr>
          <w:rStyle w:val="38"/>
          <w:rFonts w:asciiTheme="minorEastAsia" w:hAnsiTheme="minorEastAsia" w:eastAsiaTheme="minorEastAsia"/>
          <w:b w:val="0"/>
          <w:color w:val="auto"/>
          <w:kern w:val="4"/>
        </w:rPr>
        <w:fldChar w:fldCharType="end"/>
      </w:r>
    </w:p>
    <w:p>
      <w:pPr>
        <w:pStyle w:val="21"/>
        <w:spacing w:before="120" w:after="120"/>
        <w:rPr>
          <w:rStyle w:val="38"/>
          <w:color w:val="auto"/>
          <w:kern w:val="4"/>
        </w:rPr>
      </w:pPr>
      <w:r>
        <w:fldChar w:fldCharType="begin"/>
      </w:r>
      <w:r>
        <w:instrText xml:space="preserve"> HYPERLINK \l "_Toc438123215" </w:instrText>
      </w:r>
      <w:r>
        <w:fldChar w:fldCharType="separate"/>
      </w:r>
      <w:r>
        <w:rPr>
          <w:rStyle w:val="38"/>
          <w:color w:val="auto"/>
          <w:kern w:val="4"/>
        </w:rPr>
        <w:t>第五章 保障措施</w:t>
      </w:r>
      <w:r>
        <w:rPr>
          <w:rStyle w:val="38"/>
          <w:color w:val="auto"/>
          <w:kern w:val="4"/>
        </w:rPr>
        <w:tab/>
      </w:r>
      <w:r>
        <w:rPr>
          <w:rStyle w:val="38"/>
          <w:color w:val="auto"/>
          <w:kern w:val="4"/>
        </w:rPr>
        <w:fldChar w:fldCharType="begin"/>
      </w:r>
      <w:r>
        <w:rPr>
          <w:rStyle w:val="38"/>
          <w:color w:val="auto"/>
          <w:kern w:val="4"/>
        </w:rPr>
        <w:instrText xml:space="preserve"> PAGEREF _Toc438123215 \h </w:instrText>
      </w:r>
      <w:r>
        <w:rPr>
          <w:rStyle w:val="38"/>
          <w:color w:val="auto"/>
          <w:kern w:val="4"/>
        </w:rPr>
        <w:fldChar w:fldCharType="separate"/>
      </w:r>
      <w:r>
        <w:rPr>
          <w:rStyle w:val="38"/>
          <w:color w:val="auto"/>
          <w:kern w:val="4"/>
        </w:rPr>
        <w:t>63</w:t>
      </w:r>
      <w:r>
        <w:rPr>
          <w:rStyle w:val="38"/>
          <w:color w:val="auto"/>
          <w:kern w:val="4"/>
        </w:rPr>
        <w:fldChar w:fldCharType="end"/>
      </w:r>
      <w:r>
        <w:rPr>
          <w:rStyle w:val="38"/>
          <w:color w:val="auto"/>
          <w:kern w:val="4"/>
        </w:rPr>
        <w:fldChar w:fldCharType="end"/>
      </w:r>
    </w:p>
    <w:p>
      <w:pPr>
        <w:pStyle w:val="24"/>
        <w:spacing w:line="360" w:lineRule="auto"/>
        <w:ind w:firstLine="0" w:firstLineChars="0"/>
        <w:jc w:val="right"/>
        <w:rPr>
          <w:rStyle w:val="38"/>
          <w:rFonts w:asciiTheme="minorEastAsia" w:hAnsiTheme="minorEastAsia" w:eastAsiaTheme="minorEastAsia"/>
          <w:b w:val="0"/>
          <w:color w:val="auto"/>
          <w:kern w:val="4"/>
        </w:rPr>
      </w:pPr>
      <w:r>
        <w:fldChar w:fldCharType="begin"/>
      </w:r>
      <w:r>
        <w:instrText xml:space="preserve"> HYPERLINK \l "_Toc438123216" </w:instrText>
      </w:r>
      <w:r>
        <w:fldChar w:fldCharType="separate"/>
      </w:r>
      <w:r>
        <w:rPr>
          <w:rStyle w:val="38"/>
          <w:rFonts w:asciiTheme="minorEastAsia" w:hAnsiTheme="minorEastAsia" w:eastAsiaTheme="minorEastAsia"/>
          <w:b w:val="0"/>
          <w:color w:val="auto"/>
          <w:kern w:val="4"/>
        </w:rPr>
        <w:t>5.1加强组织领导</w:t>
      </w:r>
      <w:r>
        <w:rPr>
          <w:rStyle w:val="38"/>
          <w:rFonts w:asciiTheme="minorEastAsia" w:hAnsiTheme="minorEastAsia" w:eastAsiaTheme="minorEastAsia"/>
          <w:b w:val="0"/>
          <w:color w:val="auto"/>
          <w:kern w:val="4"/>
        </w:rPr>
        <w:tab/>
      </w:r>
      <w:r>
        <w:rPr>
          <w:rStyle w:val="38"/>
          <w:rFonts w:asciiTheme="minorEastAsia" w:hAnsiTheme="minorEastAsia" w:eastAsiaTheme="minorEastAsia"/>
          <w:b w:val="0"/>
          <w:color w:val="auto"/>
          <w:kern w:val="4"/>
        </w:rPr>
        <w:fldChar w:fldCharType="begin"/>
      </w:r>
      <w:r>
        <w:rPr>
          <w:rStyle w:val="38"/>
          <w:rFonts w:asciiTheme="minorEastAsia" w:hAnsiTheme="minorEastAsia" w:eastAsiaTheme="minorEastAsia"/>
          <w:b w:val="0"/>
          <w:color w:val="auto"/>
          <w:kern w:val="4"/>
        </w:rPr>
        <w:instrText xml:space="preserve"> PAGEREF _Toc438123216 \h </w:instrText>
      </w:r>
      <w:r>
        <w:rPr>
          <w:rStyle w:val="38"/>
          <w:rFonts w:asciiTheme="minorEastAsia" w:hAnsiTheme="minorEastAsia" w:eastAsiaTheme="minorEastAsia"/>
          <w:b w:val="0"/>
          <w:color w:val="auto"/>
          <w:kern w:val="4"/>
        </w:rPr>
        <w:fldChar w:fldCharType="separate"/>
      </w:r>
      <w:r>
        <w:rPr>
          <w:rStyle w:val="38"/>
          <w:rFonts w:asciiTheme="minorEastAsia" w:hAnsiTheme="minorEastAsia" w:eastAsiaTheme="minorEastAsia"/>
          <w:b w:val="0"/>
          <w:color w:val="auto"/>
          <w:kern w:val="4"/>
        </w:rPr>
        <w:t>63</w:t>
      </w:r>
      <w:r>
        <w:rPr>
          <w:rStyle w:val="38"/>
          <w:rFonts w:asciiTheme="minorEastAsia" w:hAnsiTheme="minorEastAsia" w:eastAsiaTheme="minorEastAsia"/>
          <w:b w:val="0"/>
          <w:color w:val="auto"/>
          <w:kern w:val="4"/>
        </w:rPr>
        <w:fldChar w:fldCharType="end"/>
      </w:r>
      <w:r>
        <w:rPr>
          <w:rStyle w:val="38"/>
          <w:rFonts w:asciiTheme="minorEastAsia" w:hAnsiTheme="minorEastAsia" w:eastAsiaTheme="minorEastAsia"/>
          <w:b w:val="0"/>
          <w:color w:val="auto"/>
          <w:kern w:val="4"/>
        </w:rPr>
        <w:fldChar w:fldCharType="end"/>
      </w:r>
    </w:p>
    <w:p>
      <w:pPr>
        <w:pStyle w:val="24"/>
        <w:spacing w:line="360" w:lineRule="auto"/>
        <w:ind w:firstLine="0" w:firstLineChars="0"/>
        <w:jc w:val="right"/>
        <w:rPr>
          <w:rStyle w:val="38"/>
          <w:rFonts w:asciiTheme="minorEastAsia" w:hAnsiTheme="minorEastAsia" w:eastAsiaTheme="minorEastAsia"/>
          <w:b w:val="0"/>
          <w:color w:val="auto"/>
          <w:kern w:val="4"/>
        </w:rPr>
      </w:pPr>
      <w:r>
        <w:fldChar w:fldCharType="begin"/>
      </w:r>
      <w:r>
        <w:instrText xml:space="preserve"> HYPERLINK \l "_Toc438123217" </w:instrText>
      </w:r>
      <w:r>
        <w:fldChar w:fldCharType="separate"/>
      </w:r>
      <w:r>
        <w:rPr>
          <w:rStyle w:val="38"/>
          <w:rFonts w:asciiTheme="minorEastAsia" w:hAnsiTheme="minorEastAsia" w:eastAsiaTheme="minorEastAsia"/>
          <w:b w:val="0"/>
          <w:color w:val="auto"/>
          <w:kern w:val="4"/>
        </w:rPr>
        <w:t>5.2落实资金保障</w:t>
      </w:r>
      <w:r>
        <w:rPr>
          <w:rStyle w:val="38"/>
          <w:rFonts w:asciiTheme="minorEastAsia" w:hAnsiTheme="minorEastAsia" w:eastAsiaTheme="minorEastAsia"/>
          <w:b w:val="0"/>
          <w:color w:val="auto"/>
          <w:kern w:val="4"/>
        </w:rPr>
        <w:tab/>
      </w:r>
      <w:r>
        <w:rPr>
          <w:rStyle w:val="38"/>
          <w:rFonts w:asciiTheme="minorEastAsia" w:hAnsiTheme="minorEastAsia" w:eastAsiaTheme="minorEastAsia"/>
          <w:b w:val="0"/>
          <w:color w:val="auto"/>
          <w:kern w:val="4"/>
        </w:rPr>
        <w:fldChar w:fldCharType="begin"/>
      </w:r>
      <w:r>
        <w:rPr>
          <w:rStyle w:val="38"/>
          <w:rFonts w:asciiTheme="minorEastAsia" w:hAnsiTheme="minorEastAsia" w:eastAsiaTheme="minorEastAsia"/>
          <w:b w:val="0"/>
          <w:color w:val="auto"/>
          <w:kern w:val="4"/>
        </w:rPr>
        <w:instrText xml:space="preserve"> PAGEREF _Toc438123217 \h </w:instrText>
      </w:r>
      <w:r>
        <w:rPr>
          <w:rStyle w:val="38"/>
          <w:rFonts w:asciiTheme="minorEastAsia" w:hAnsiTheme="minorEastAsia" w:eastAsiaTheme="minorEastAsia"/>
          <w:b w:val="0"/>
          <w:color w:val="auto"/>
          <w:kern w:val="4"/>
        </w:rPr>
        <w:fldChar w:fldCharType="separate"/>
      </w:r>
      <w:r>
        <w:rPr>
          <w:rStyle w:val="38"/>
          <w:rFonts w:asciiTheme="minorEastAsia" w:hAnsiTheme="minorEastAsia" w:eastAsiaTheme="minorEastAsia"/>
          <w:b w:val="0"/>
          <w:color w:val="auto"/>
          <w:kern w:val="4"/>
        </w:rPr>
        <w:t>63</w:t>
      </w:r>
      <w:r>
        <w:rPr>
          <w:rStyle w:val="38"/>
          <w:rFonts w:asciiTheme="minorEastAsia" w:hAnsiTheme="minorEastAsia" w:eastAsiaTheme="minorEastAsia"/>
          <w:b w:val="0"/>
          <w:color w:val="auto"/>
          <w:kern w:val="4"/>
        </w:rPr>
        <w:fldChar w:fldCharType="end"/>
      </w:r>
      <w:r>
        <w:rPr>
          <w:rStyle w:val="38"/>
          <w:rFonts w:asciiTheme="minorEastAsia" w:hAnsiTheme="minorEastAsia" w:eastAsiaTheme="minorEastAsia"/>
          <w:b w:val="0"/>
          <w:color w:val="auto"/>
          <w:kern w:val="4"/>
        </w:rPr>
        <w:fldChar w:fldCharType="end"/>
      </w:r>
    </w:p>
    <w:p>
      <w:pPr>
        <w:pStyle w:val="24"/>
        <w:spacing w:line="360" w:lineRule="auto"/>
        <w:ind w:firstLine="0" w:firstLineChars="0"/>
        <w:jc w:val="right"/>
        <w:rPr>
          <w:rStyle w:val="38"/>
          <w:rFonts w:asciiTheme="minorEastAsia" w:hAnsiTheme="minorEastAsia" w:eastAsiaTheme="minorEastAsia"/>
          <w:b w:val="0"/>
          <w:color w:val="auto"/>
          <w:kern w:val="4"/>
        </w:rPr>
      </w:pPr>
      <w:r>
        <w:fldChar w:fldCharType="begin"/>
      </w:r>
      <w:r>
        <w:instrText xml:space="preserve"> HYPERLINK \l "_Toc438123218" </w:instrText>
      </w:r>
      <w:r>
        <w:fldChar w:fldCharType="separate"/>
      </w:r>
      <w:r>
        <w:rPr>
          <w:rStyle w:val="38"/>
          <w:rFonts w:asciiTheme="minorEastAsia" w:hAnsiTheme="minorEastAsia" w:eastAsiaTheme="minorEastAsia"/>
          <w:b w:val="0"/>
          <w:color w:val="auto"/>
          <w:kern w:val="4"/>
        </w:rPr>
        <w:t>5.3强化用地保障</w:t>
      </w:r>
      <w:r>
        <w:rPr>
          <w:rStyle w:val="38"/>
          <w:rFonts w:asciiTheme="minorEastAsia" w:hAnsiTheme="minorEastAsia" w:eastAsiaTheme="minorEastAsia"/>
          <w:b w:val="0"/>
          <w:color w:val="auto"/>
          <w:kern w:val="4"/>
        </w:rPr>
        <w:tab/>
      </w:r>
      <w:r>
        <w:rPr>
          <w:rStyle w:val="38"/>
          <w:rFonts w:asciiTheme="minorEastAsia" w:hAnsiTheme="minorEastAsia" w:eastAsiaTheme="minorEastAsia"/>
          <w:b w:val="0"/>
          <w:color w:val="auto"/>
          <w:kern w:val="4"/>
        </w:rPr>
        <w:fldChar w:fldCharType="begin"/>
      </w:r>
      <w:r>
        <w:rPr>
          <w:rStyle w:val="38"/>
          <w:rFonts w:asciiTheme="minorEastAsia" w:hAnsiTheme="minorEastAsia" w:eastAsiaTheme="minorEastAsia"/>
          <w:b w:val="0"/>
          <w:color w:val="auto"/>
          <w:kern w:val="4"/>
        </w:rPr>
        <w:instrText xml:space="preserve"> PAGEREF _Toc438123218 \h </w:instrText>
      </w:r>
      <w:r>
        <w:rPr>
          <w:rStyle w:val="38"/>
          <w:rFonts w:asciiTheme="minorEastAsia" w:hAnsiTheme="minorEastAsia" w:eastAsiaTheme="minorEastAsia"/>
          <w:b w:val="0"/>
          <w:color w:val="auto"/>
          <w:kern w:val="4"/>
        </w:rPr>
        <w:fldChar w:fldCharType="separate"/>
      </w:r>
      <w:r>
        <w:rPr>
          <w:rStyle w:val="38"/>
          <w:rFonts w:asciiTheme="minorEastAsia" w:hAnsiTheme="minorEastAsia" w:eastAsiaTheme="minorEastAsia"/>
          <w:b w:val="0"/>
          <w:color w:val="auto"/>
          <w:kern w:val="4"/>
        </w:rPr>
        <w:t>65</w:t>
      </w:r>
      <w:r>
        <w:rPr>
          <w:rStyle w:val="38"/>
          <w:rFonts w:asciiTheme="minorEastAsia" w:hAnsiTheme="minorEastAsia" w:eastAsiaTheme="minorEastAsia"/>
          <w:b w:val="0"/>
          <w:color w:val="auto"/>
          <w:kern w:val="4"/>
        </w:rPr>
        <w:fldChar w:fldCharType="end"/>
      </w:r>
      <w:r>
        <w:rPr>
          <w:rStyle w:val="38"/>
          <w:rFonts w:asciiTheme="minorEastAsia" w:hAnsiTheme="minorEastAsia" w:eastAsiaTheme="minorEastAsia"/>
          <w:b w:val="0"/>
          <w:color w:val="auto"/>
          <w:kern w:val="4"/>
        </w:rPr>
        <w:fldChar w:fldCharType="end"/>
      </w:r>
    </w:p>
    <w:p>
      <w:pPr>
        <w:pStyle w:val="24"/>
        <w:spacing w:line="360" w:lineRule="auto"/>
        <w:ind w:firstLine="0" w:firstLineChars="0"/>
        <w:jc w:val="right"/>
        <w:rPr>
          <w:rStyle w:val="38"/>
          <w:rFonts w:asciiTheme="minorEastAsia" w:hAnsiTheme="minorEastAsia" w:eastAsiaTheme="minorEastAsia"/>
          <w:b w:val="0"/>
          <w:color w:val="auto"/>
          <w:kern w:val="4"/>
        </w:rPr>
      </w:pPr>
      <w:r>
        <w:fldChar w:fldCharType="begin"/>
      </w:r>
      <w:r>
        <w:instrText xml:space="preserve"> HYPERLINK \l "_Toc438123219" </w:instrText>
      </w:r>
      <w:r>
        <w:fldChar w:fldCharType="separate"/>
      </w:r>
      <w:r>
        <w:rPr>
          <w:rStyle w:val="38"/>
          <w:rFonts w:asciiTheme="minorEastAsia" w:hAnsiTheme="minorEastAsia" w:eastAsiaTheme="minorEastAsia"/>
          <w:b w:val="0"/>
          <w:color w:val="auto"/>
          <w:kern w:val="4"/>
        </w:rPr>
        <w:t>5.4加强考核评估</w:t>
      </w:r>
      <w:r>
        <w:rPr>
          <w:rStyle w:val="38"/>
          <w:rFonts w:asciiTheme="minorEastAsia" w:hAnsiTheme="minorEastAsia" w:eastAsiaTheme="minorEastAsia"/>
          <w:b w:val="0"/>
          <w:color w:val="auto"/>
          <w:kern w:val="4"/>
        </w:rPr>
        <w:tab/>
      </w:r>
      <w:r>
        <w:rPr>
          <w:rStyle w:val="38"/>
          <w:rFonts w:asciiTheme="minorEastAsia" w:hAnsiTheme="minorEastAsia" w:eastAsiaTheme="minorEastAsia"/>
          <w:b w:val="0"/>
          <w:color w:val="auto"/>
          <w:kern w:val="4"/>
        </w:rPr>
        <w:fldChar w:fldCharType="begin"/>
      </w:r>
      <w:r>
        <w:rPr>
          <w:rStyle w:val="38"/>
          <w:rFonts w:asciiTheme="minorEastAsia" w:hAnsiTheme="minorEastAsia" w:eastAsiaTheme="minorEastAsia"/>
          <w:b w:val="0"/>
          <w:color w:val="auto"/>
          <w:kern w:val="4"/>
        </w:rPr>
        <w:instrText xml:space="preserve"> PAGEREF _Toc438123219 \h </w:instrText>
      </w:r>
      <w:r>
        <w:rPr>
          <w:rStyle w:val="38"/>
          <w:rFonts w:asciiTheme="minorEastAsia" w:hAnsiTheme="minorEastAsia" w:eastAsiaTheme="minorEastAsia"/>
          <w:b w:val="0"/>
          <w:color w:val="auto"/>
          <w:kern w:val="4"/>
        </w:rPr>
        <w:fldChar w:fldCharType="separate"/>
      </w:r>
      <w:r>
        <w:rPr>
          <w:rStyle w:val="38"/>
          <w:rFonts w:asciiTheme="minorEastAsia" w:hAnsiTheme="minorEastAsia" w:eastAsiaTheme="minorEastAsia"/>
          <w:b w:val="0"/>
          <w:color w:val="auto"/>
          <w:kern w:val="4"/>
        </w:rPr>
        <w:t>67</w:t>
      </w:r>
      <w:r>
        <w:rPr>
          <w:rStyle w:val="38"/>
          <w:rFonts w:asciiTheme="minorEastAsia" w:hAnsiTheme="minorEastAsia" w:eastAsiaTheme="minorEastAsia"/>
          <w:b w:val="0"/>
          <w:color w:val="auto"/>
          <w:kern w:val="4"/>
        </w:rPr>
        <w:fldChar w:fldCharType="end"/>
      </w:r>
      <w:r>
        <w:rPr>
          <w:rStyle w:val="38"/>
          <w:rFonts w:asciiTheme="minorEastAsia" w:hAnsiTheme="minorEastAsia" w:eastAsiaTheme="minorEastAsia"/>
          <w:b w:val="0"/>
          <w:color w:val="auto"/>
          <w:kern w:val="4"/>
        </w:rPr>
        <w:fldChar w:fldCharType="end"/>
      </w:r>
    </w:p>
    <w:p>
      <w:pPr>
        <w:pStyle w:val="24"/>
        <w:spacing w:line="560" w:lineRule="exact"/>
        <w:ind w:firstLine="0" w:firstLineChars="0"/>
        <w:rPr>
          <w:rStyle w:val="38"/>
          <w:rFonts w:ascii="Times New Roman" w:hAnsi="Times New Roman"/>
          <w:b w:val="0"/>
          <w:color w:val="auto"/>
          <w:kern w:val="4"/>
          <w:sz w:val="28"/>
          <w:szCs w:val="28"/>
          <w:u w:val="none"/>
        </w:rPr>
      </w:pPr>
      <w:r>
        <w:rPr>
          <w:rFonts w:ascii="Times New Roman" w:hAnsi="Times New Roman"/>
          <w:b w:val="0"/>
          <w:kern w:val="4"/>
        </w:rPr>
        <w:fldChar w:fldCharType="end"/>
      </w:r>
      <w:r>
        <w:rPr>
          <w:rStyle w:val="38"/>
          <w:rFonts w:ascii="Times New Roman" w:hAnsi="Times New Roman"/>
          <w:b w:val="0"/>
          <w:color w:val="auto"/>
          <w:kern w:val="4"/>
          <w:sz w:val="28"/>
          <w:szCs w:val="28"/>
          <w:u w:val="none"/>
        </w:rPr>
        <w:t>附表</w:t>
      </w:r>
    </w:p>
    <w:p>
      <w:pPr>
        <w:spacing w:line="560" w:lineRule="exact"/>
        <w:ind w:firstLine="232" w:firstLineChars="83"/>
        <w:rPr>
          <w:rStyle w:val="38"/>
          <w:rFonts w:ascii="Times New Roman" w:hAnsi="Times New Roman" w:eastAsia="黑体"/>
          <w:color w:val="auto"/>
          <w:kern w:val="4"/>
          <w:szCs w:val="28"/>
          <w:u w:val="none"/>
        </w:rPr>
      </w:pPr>
      <w:r>
        <w:rPr>
          <w:rStyle w:val="38"/>
          <w:rFonts w:ascii="Times New Roman" w:hAnsi="Times New Roman" w:eastAsia="黑体"/>
          <w:color w:val="auto"/>
          <w:kern w:val="4"/>
          <w:szCs w:val="28"/>
          <w:u w:val="none"/>
        </w:rPr>
        <w:t>01  溧水区“十三五”交通重点建设项目表</w:t>
      </w:r>
    </w:p>
    <w:p>
      <w:pPr>
        <w:spacing w:line="560" w:lineRule="exact"/>
        <w:ind w:firstLine="0" w:firstLineChars="0"/>
        <w:rPr>
          <w:rStyle w:val="38"/>
          <w:rFonts w:ascii="Times New Roman" w:hAnsi="Times New Roman" w:eastAsia="黑体"/>
          <w:color w:val="auto"/>
          <w:kern w:val="4"/>
          <w:szCs w:val="28"/>
          <w:u w:val="none"/>
        </w:rPr>
      </w:pPr>
      <w:r>
        <w:rPr>
          <w:rStyle w:val="38"/>
          <w:rFonts w:ascii="Times New Roman" w:hAnsi="Times New Roman" w:eastAsia="黑体"/>
          <w:color w:val="auto"/>
          <w:kern w:val="4"/>
          <w:szCs w:val="28"/>
          <w:u w:val="none"/>
        </w:rPr>
        <w:t>附图</w:t>
      </w:r>
    </w:p>
    <w:p>
      <w:pPr>
        <w:spacing w:line="560" w:lineRule="exact"/>
        <w:ind w:firstLine="232" w:firstLineChars="83"/>
        <w:rPr>
          <w:rStyle w:val="38"/>
          <w:rFonts w:ascii="Times New Roman" w:hAnsi="Times New Roman" w:eastAsia="黑体"/>
          <w:color w:val="auto"/>
          <w:kern w:val="4"/>
          <w:szCs w:val="28"/>
          <w:u w:val="none"/>
        </w:rPr>
      </w:pPr>
      <w:r>
        <w:rPr>
          <w:rStyle w:val="38"/>
          <w:rFonts w:ascii="Times New Roman" w:hAnsi="Times New Roman" w:eastAsia="黑体"/>
          <w:color w:val="auto"/>
          <w:kern w:val="4"/>
          <w:szCs w:val="28"/>
          <w:u w:val="none"/>
        </w:rPr>
        <w:t>01  溧水区“十三五”综合交通发展现状图</w:t>
      </w:r>
    </w:p>
    <w:p>
      <w:pPr>
        <w:spacing w:line="560" w:lineRule="exact"/>
        <w:ind w:firstLine="232" w:firstLineChars="83"/>
        <w:rPr>
          <w:rStyle w:val="38"/>
          <w:rFonts w:ascii="Times New Roman" w:hAnsi="Times New Roman" w:eastAsia="黑体"/>
          <w:color w:val="auto"/>
          <w:kern w:val="4"/>
          <w:szCs w:val="28"/>
          <w:u w:val="none"/>
        </w:rPr>
      </w:pPr>
      <w:r>
        <w:rPr>
          <w:rStyle w:val="38"/>
          <w:rFonts w:ascii="Times New Roman" w:hAnsi="Times New Roman" w:eastAsia="黑体"/>
          <w:color w:val="auto"/>
          <w:kern w:val="4"/>
          <w:szCs w:val="28"/>
          <w:u w:val="none"/>
        </w:rPr>
        <w:t>02  溧水区“十三五”综合交通发展规划图</w:t>
      </w:r>
    </w:p>
    <w:p>
      <w:pPr>
        <w:spacing w:line="560" w:lineRule="exact"/>
        <w:ind w:firstLine="232" w:firstLineChars="83"/>
        <w:rPr>
          <w:rStyle w:val="38"/>
          <w:rFonts w:ascii="Times New Roman" w:hAnsi="Times New Roman" w:eastAsia="黑体"/>
          <w:color w:val="auto"/>
          <w:kern w:val="4"/>
          <w:szCs w:val="28"/>
          <w:u w:val="none"/>
        </w:rPr>
      </w:pPr>
      <w:r>
        <w:rPr>
          <w:rStyle w:val="38"/>
          <w:rFonts w:ascii="Times New Roman" w:hAnsi="Times New Roman" w:eastAsia="黑体"/>
          <w:color w:val="auto"/>
          <w:kern w:val="4"/>
          <w:szCs w:val="28"/>
          <w:u w:val="none"/>
        </w:rPr>
        <w:t>03  溧水区“十三五”干线公路建设计划图</w:t>
      </w:r>
    </w:p>
    <w:p>
      <w:pPr>
        <w:spacing w:line="560" w:lineRule="exact"/>
        <w:ind w:firstLine="232" w:firstLineChars="83"/>
        <w:rPr>
          <w:rStyle w:val="38"/>
          <w:rFonts w:ascii="Times New Roman" w:hAnsi="Times New Roman" w:eastAsia="黑体"/>
          <w:color w:val="auto"/>
          <w:kern w:val="4"/>
          <w:szCs w:val="28"/>
          <w:u w:val="none"/>
        </w:rPr>
      </w:pPr>
      <w:r>
        <w:rPr>
          <w:rStyle w:val="38"/>
          <w:rFonts w:ascii="Times New Roman" w:hAnsi="Times New Roman" w:eastAsia="黑体"/>
          <w:color w:val="auto"/>
          <w:kern w:val="4"/>
          <w:szCs w:val="28"/>
          <w:u w:val="none"/>
        </w:rPr>
        <w:t>04  溧水区“十三五”</w:t>
      </w:r>
      <w:r>
        <w:rPr>
          <w:rStyle w:val="38"/>
          <w:rFonts w:hint="eastAsia" w:ascii="Times New Roman" w:hAnsi="Times New Roman" w:eastAsia="黑体"/>
          <w:color w:val="auto"/>
          <w:kern w:val="4"/>
          <w:szCs w:val="28"/>
          <w:u w:val="none"/>
        </w:rPr>
        <w:t>县道网</w:t>
      </w:r>
      <w:r>
        <w:rPr>
          <w:rStyle w:val="38"/>
          <w:rFonts w:ascii="Times New Roman" w:hAnsi="Times New Roman" w:eastAsia="黑体"/>
          <w:color w:val="auto"/>
          <w:kern w:val="4"/>
          <w:szCs w:val="28"/>
          <w:u w:val="none"/>
        </w:rPr>
        <w:t>规划图</w:t>
      </w:r>
    </w:p>
    <w:p>
      <w:pPr>
        <w:spacing w:line="560" w:lineRule="exact"/>
        <w:ind w:firstLine="232" w:firstLineChars="83"/>
        <w:rPr>
          <w:rStyle w:val="38"/>
          <w:rFonts w:ascii="Times New Roman" w:hAnsi="Times New Roman" w:eastAsia="黑体"/>
          <w:color w:val="auto"/>
          <w:kern w:val="4"/>
          <w:szCs w:val="28"/>
          <w:u w:val="none"/>
        </w:rPr>
      </w:pPr>
      <w:r>
        <w:rPr>
          <w:rStyle w:val="38"/>
          <w:rFonts w:ascii="Times New Roman" w:hAnsi="Times New Roman" w:eastAsia="黑体"/>
          <w:color w:val="auto"/>
          <w:kern w:val="4"/>
          <w:szCs w:val="28"/>
          <w:u w:val="none"/>
        </w:rPr>
        <w:t>0</w:t>
      </w:r>
      <w:r>
        <w:rPr>
          <w:rStyle w:val="38"/>
          <w:rFonts w:hint="eastAsia" w:ascii="Times New Roman" w:hAnsi="Times New Roman" w:eastAsia="黑体"/>
          <w:color w:val="auto"/>
          <w:kern w:val="4"/>
          <w:szCs w:val="28"/>
          <w:u w:val="none"/>
        </w:rPr>
        <w:t>5</w:t>
      </w:r>
      <w:r>
        <w:rPr>
          <w:rStyle w:val="38"/>
          <w:rFonts w:ascii="Times New Roman" w:hAnsi="Times New Roman" w:eastAsia="黑体"/>
          <w:color w:val="auto"/>
          <w:kern w:val="4"/>
          <w:szCs w:val="28"/>
          <w:u w:val="none"/>
        </w:rPr>
        <w:t>溧水区“十三五”轨道交通建设计划图</w:t>
      </w:r>
    </w:p>
    <w:p>
      <w:pPr>
        <w:spacing w:line="560" w:lineRule="exact"/>
        <w:ind w:firstLine="232" w:firstLineChars="83"/>
        <w:rPr>
          <w:rStyle w:val="38"/>
          <w:rFonts w:ascii="Times New Roman" w:hAnsi="Times New Roman" w:eastAsia="黑体"/>
          <w:color w:val="auto"/>
          <w:kern w:val="4"/>
          <w:szCs w:val="28"/>
          <w:u w:val="none"/>
        </w:rPr>
      </w:pPr>
      <w:r>
        <w:rPr>
          <w:rStyle w:val="38"/>
          <w:rFonts w:ascii="Times New Roman" w:hAnsi="Times New Roman" w:eastAsia="黑体"/>
          <w:color w:val="auto"/>
          <w:kern w:val="4"/>
          <w:szCs w:val="28"/>
          <w:u w:val="none"/>
        </w:rPr>
        <w:t>06溧水区“十三五”水运设施建设计划图</w:t>
      </w:r>
    </w:p>
    <w:p>
      <w:pPr>
        <w:spacing w:line="560" w:lineRule="exact"/>
        <w:ind w:firstLine="232" w:firstLineChars="83"/>
        <w:rPr>
          <w:rStyle w:val="38"/>
          <w:rFonts w:ascii="Times New Roman" w:hAnsi="Times New Roman" w:eastAsia="黑体"/>
          <w:color w:val="auto"/>
          <w:kern w:val="4"/>
          <w:szCs w:val="28"/>
          <w:u w:val="none"/>
        </w:rPr>
      </w:pPr>
      <w:r>
        <w:rPr>
          <w:rStyle w:val="38"/>
          <w:rFonts w:ascii="Times New Roman" w:hAnsi="Times New Roman" w:eastAsia="黑体"/>
          <w:color w:val="auto"/>
          <w:kern w:val="4"/>
          <w:szCs w:val="28"/>
          <w:u w:val="none"/>
        </w:rPr>
        <w:t>07  溧水区“十三五”客货枢纽建设计划图</w:t>
      </w:r>
    </w:p>
    <w:p>
      <w:pPr>
        <w:spacing w:line="560" w:lineRule="exact"/>
        <w:ind w:firstLine="232" w:firstLineChars="83"/>
        <w:rPr>
          <w:rStyle w:val="38"/>
          <w:rFonts w:ascii="Times New Roman" w:hAnsi="Times New Roman" w:eastAsia="黑体"/>
          <w:color w:val="auto"/>
          <w:kern w:val="4"/>
          <w:szCs w:val="28"/>
          <w:u w:val="none"/>
        </w:rPr>
      </w:pPr>
      <w:r>
        <w:rPr>
          <w:rStyle w:val="38"/>
          <w:rFonts w:ascii="Times New Roman" w:hAnsi="Times New Roman" w:eastAsia="黑体"/>
          <w:color w:val="auto"/>
          <w:kern w:val="4"/>
          <w:szCs w:val="28"/>
          <w:u w:val="none"/>
        </w:rPr>
        <w:t>08  溧水区“十三五”公交主线布局规划图</w:t>
      </w:r>
    </w:p>
    <w:p>
      <w:pPr>
        <w:spacing w:line="560" w:lineRule="exact"/>
        <w:ind w:firstLine="232" w:firstLineChars="83"/>
        <w:rPr>
          <w:rStyle w:val="38"/>
          <w:rFonts w:ascii="Times New Roman" w:hAnsi="Times New Roman" w:eastAsia="黑体"/>
          <w:color w:val="auto"/>
          <w:kern w:val="4"/>
          <w:szCs w:val="28"/>
          <w:u w:val="none"/>
        </w:rPr>
      </w:pPr>
      <w:r>
        <w:rPr>
          <w:rStyle w:val="38"/>
          <w:rFonts w:ascii="Times New Roman" w:hAnsi="Times New Roman" w:eastAsia="黑体"/>
          <w:color w:val="auto"/>
          <w:kern w:val="4"/>
          <w:szCs w:val="28"/>
          <w:u w:val="none"/>
        </w:rPr>
        <w:t>09溧水区“十三五”公交干线布局规划图</w:t>
      </w:r>
    </w:p>
    <w:p>
      <w:pPr>
        <w:spacing w:line="560" w:lineRule="exact"/>
        <w:ind w:firstLine="232" w:firstLineChars="83"/>
        <w:rPr>
          <w:rStyle w:val="38"/>
          <w:rFonts w:ascii="Times New Roman" w:hAnsi="Times New Roman" w:eastAsia="黑体"/>
          <w:color w:val="auto"/>
          <w:kern w:val="4"/>
          <w:szCs w:val="28"/>
          <w:u w:val="none"/>
        </w:rPr>
      </w:pPr>
      <w:r>
        <w:rPr>
          <w:rStyle w:val="38"/>
          <w:rFonts w:ascii="Times New Roman" w:hAnsi="Times New Roman" w:eastAsia="黑体"/>
          <w:color w:val="auto"/>
          <w:kern w:val="4"/>
          <w:szCs w:val="28"/>
          <w:u w:val="none"/>
        </w:rPr>
        <w:t>10溧水区“十三五”公交支线布局规划图</w:t>
      </w:r>
    </w:p>
    <w:p>
      <w:pPr>
        <w:spacing w:line="560" w:lineRule="exact"/>
        <w:ind w:firstLine="232" w:firstLineChars="83"/>
        <w:rPr>
          <w:rStyle w:val="38"/>
          <w:rFonts w:ascii="Times New Roman" w:hAnsi="Times New Roman" w:eastAsia="黑体"/>
          <w:color w:val="auto"/>
          <w:kern w:val="4"/>
          <w:szCs w:val="28"/>
          <w:u w:val="none"/>
        </w:rPr>
      </w:pPr>
      <w:r>
        <w:rPr>
          <w:rStyle w:val="38"/>
          <w:rFonts w:ascii="Times New Roman" w:hAnsi="Times New Roman" w:eastAsia="黑体"/>
          <w:color w:val="auto"/>
          <w:kern w:val="4"/>
          <w:szCs w:val="28"/>
          <w:u w:val="none"/>
        </w:rPr>
        <w:t>11溧水区“十三五”公交夜间线、旅游线、定时线布局规划图</w:t>
      </w:r>
    </w:p>
    <w:p>
      <w:pPr>
        <w:spacing w:line="560" w:lineRule="exact"/>
        <w:ind w:firstLine="232" w:firstLineChars="83"/>
        <w:rPr>
          <w:rStyle w:val="38"/>
          <w:rFonts w:ascii="Times New Roman" w:hAnsi="Times New Roman" w:eastAsia="黑体"/>
          <w:color w:val="auto"/>
          <w:kern w:val="4"/>
          <w:szCs w:val="28"/>
          <w:u w:val="none"/>
        </w:rPr>
      </w:pPr>
      <w:r>
        <w:rPr>
          <w:rStyle w:val="38"/>
          <w:rFonts w:ascii="Times New Roman" w:hAnsi="Times New Roman" w:eastAsia="黑体"/>
          <w:color w:val="auto"/>
          <w:kern w:val="4"/>
          <w:szCs w:val="28"/>
          <w:u w:val="none"/>
        </w:rPr>
        <w:t>12溧水区“十三五”公交场站布局规划图</w:t>
      </w:r>
    </w:p>
    <w:p>
      <w:pPr>
        <w:spacing w:line="560" w:lineRule="exact"/>
        <w:ind w:firstLine="232" w:firstLineChars="83"/>
        <w:rPr>
          <w:rStyle w:val="38"/>
          <w:rFonts w:ascii="Times New Roman" w:hAnsi="Times New Roman" w:eastAsia="黑体"/>
          <w:color w:val="auto"/>
          <w:kern w:val="4"/>
          <w:szCs w:val="28"/>
          <w:u w:val="none"/>
        </w:rPr>
      </w:pPr>
      <w:r>
        <w:rPr>
          <w:rStyle w:val="38"/>
          <w:rFonts w:ascii="Times New Roman" w:hAnsi="Times New Roman" w:eastAsia="黑体"/>
          <w:color w:val="auto"/>
          <w:kern w:val="4"/>
          <w:szCs w:val="28"/>
          <w:u w:val="none"/>
        </w:rPr>
        <w:t>13溧水区“十三五”</w:t>
      </w:r>
      <w:r>
        <w:rPr>
          <w:rStyle w:val="38"/>
          <w:rFonts w:hint="eastAsia" w:ascii="Times New Roman" w:hAnsi="Times New Roman" w:eastAsia="黑体"/>
          <w:color w:val="auto"/>
          <w:kern w:val="4"/>
          <w:szCs w:val="28"/>
          <w:u w:val="none"/>
        </w:rPr>
        <w:t>自行车</w:t>
      </w:r>
      <w:r>
        <w:rPr>
          <w:rStyle w:val="38"/>
          <w:rFonts w:ascii="Times New Roman" w:hAnsi="Times New Roman" w:eastAsia="黑体"/>
          <w:color w:val="auto"/>
          <w:kern w:val="4"/>
          <w:szCs w:val="28"/>
          <w:u w:val="none"/>
        </w:rPr>
        <w:t>租赁点布局图</w:t>
      </w:r>
    </w:p>
    <w:p>
      <w:pPr>
        <w:spacing w:line="560" w:lineRule="exact"/>
        <w:ind w:firstLine="199" w:firstLineChars="83"/>
        <w:rPr>
          <w:rFonts w:ascii="Times New Roman" w:hAnsi="Times New Roman" w:eastAsia="黑体"/>
          <w:kern w:val="4"/>
          <w:sz w:val="24"/>
        </w:rPr>
        <w:sectPr>
          <w:headerReference r:id="rId11" w:type="default"/>
          <w:pgSz w:w="11906" w:h="16838"/>
          <w:pgMar w:top="1701" w:right="1134" w:bottom="1418" w:left="1418" w:header="1247" w:footer="992" w:gutter="0"/>
          <w:cols w:space="425" w:num="1"/>
          <w:docGrid w:linePitch="381" w:charSpace="0"/>
        </w:sectPr>
      </w:pPr>
    </w:p>
    <w:p>
      <w:pPr>
        <w:spacing w:line="1200" w:lineRule="exact"/>
        <w:ind w:firstLine="0" w:firstLineChars="0"/>
        <w:jc w:val="center"/>
        <w:outlineLvl w:val="0"/>
        <w:rPr>
          <w:rFonts w:ascii="黑体" w:hAnsi="黑体" w:eastAsia="黑体"/>
          <w:kern w:val="4"/>
          <w:sz w:val="44"/>
          <w:szCs w:val="44"/>
        </w:rPr>
      </w:pPr>
      <w:bookmarkStart w:id="0" w:name="_Toc438123182"/>
      <w:r>
        <w:rPr>
          <w:rFonts w:ascii="黑体" w:hAnsi="黑体" w:eastAsia="黑体"/>
          <w:kern w:val="4"/>
          <w:sz w:val="44"/>
          <w:szCs w:val="44"/>
        </w:rPr>
        <w:t>前 言</w:t>
      </w:r>
      <w:bookmarkEnd w:id="0"/>
    </w:p>
    <w:p>
      <w:pPr>
        <w:spacing w:line="54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“十二五”期间，溧水</w:t>
      </w:r>
      <w:r>
        <w:rPr>
          <w:rFonts w:hint="eastAsia" w:ascii="Times New Roman" w:hAnsi="Times New Roman" w:eastAsia="仿宋_GB2312"/>
          <w:kern w:val="4"/>
          <w:sz w:val="30"/>
          <w:szCs w:val="30"/>
        </w:rPr>
        <w:t>在省</w:t>
      </w:r>
      <w:bookmarkStart w:id="84" w:name="_GoBack"/>
      <w:bookmarkEnd w:id="84"/>
      <w:r>
        <w:rPr>
          <w:rFonts w:hint="eastAsia" w:ascii="Times New Roman" w:hAnsi="Times New Roman" w:eastAsia="仿宋_GB2312"/>
          <w:kern w:val="4"/>
          <w:sz w:val="30"/>
          <w:szCs w:val="30"/>
          <w:lang w:eastAsia="zh-CN"/>
        </w:rPr>
        <w:t>市委、市政府</w:t>
      </w:r>
      <w:r>
        <w:rPr>
          <w:rFonts w:hint="eastAsia" w:ascii="Times New Roman" w:hAnsi="Times New Roman" w:eastAsia="仿宋_GB2312"/>
          <w:kern w:val="4"/>
          <w:sz w:val="30"/>
          <w:szCs w:val="30"/>
        </w:rPr>
        <w:t>的坚强领导下，成功实施撤县设区，顺利完成了“十二五”规划确定的主要目标和任务。交通运输作为经济</w:t>
      </w:r>
      <w:r>
        <w:rPr>
          <w:rFonts w:ascii="Times New Roman" w:hAnsi="Times New Roman" w:eastAsia="仿宋_GB2312"/>
          <w:kern w:val="4"/>
          <w:sz w:val="30"/>
          <w:szCs w:val="30"/>
        </w:rPr>
        <w:t>和</w:t>
      </w:r>
      <w:r>
        <w:rPr>
          <w:rFonts w:hint="eastAsia" w:ascii="Times New Roman" w:hAnsi="Times New Roman" w:eastAsia="仿宋_GB2312"/>
          <w:kern w:val="4"/>
          <w:sz w:val="30"/>
          <w:szCs w:val="30"/>
        </w:rPr>
        <w:t>社会</w:t>
      </w:r>
      <w:r>
        <w:rPr>
          <w:rFonts w:ascii="Times New Roman" w:hAnsi="Times New Roman" w:eastAsia="仿宋_GB2312"/>
          <w:kern w:val="4"/>
          <w:sz w:val="30"/>
          <w:szCs w:val="30"/>
        </w:rPr>
        <w:t>发展</w:t>
      </w:r>
      <w:r>
        <w:rPr>
          <w:rFonts w:hint="eastAsia" w:ascii="Times New Roman" w:hAnsi="Times New Roman" w:eastAsia="仿宋_GB2312"/>
          <w:kern w:val="4"/>
          <w:sz w:val="30"/>
          <w:szCs w:val="30"/>
        </w:rPr>
        <w:t>的先导性行业也</w:t>
      </w:r>
      <w:r>
        <w:rPr>
          <w:rFonts w:ascii="Times New Roman" w:hAnsi="Times New Roman" w:eastAsia="仿宋_GB2312"/>
          <w:kern w:val="4"/>
          <w:sz w:val="30"/>
          <w:szCs w:val="30"/>
        </w:rPr>
        <w:t>得到快速发展</w:t>
      </w:r>
      <w:r>
        <w:rPr>
          <w:rFonts w:hint="eastAsia" w:ascii="Times New Roman" w:hAnsi="Times New Roman" w:eastAsia="仿宋_GB2312"/>
          <w:kern w:val="4"/>
          <w:sz w:val="30"/>
          <w:szCs w:val="30"/>
        </w:rPr>
        <w:t>。</w:t>
      </w:r>
      <w:r>
        <w:rPr>
          <w:rFonts w:ascii="Times New Roman" w:hAnsi="Times New Roman" w:eastAsia="仿宋_GB2312"/>
          <w:kern w:val="4"/>
          <w:sz w:val="30"/>
          <w:szCs w:val="30"/>
        </w:rPr>
        <w:t>公路网络布局和结构明显优化，</w:t>
      </w:r>
      <w:r>
        <w:rPr>
          <w:rFonts w:hint="eastAsia" w:ascii="Times New Roman" w:hAnsi="Times New Roman" w:eastAsia="仿宋_GB2312"/>
          <w:kern w:val="4"/>
          <w:sz w:val="30"/>
          <w:szCs w:val="30"/>
        </w:rPr>
        <w:t>宁杭</w:t>
      </w:r>
      <w:r>
        <w:rPr>
          <w:rFonts w:ascii="Times New Roman" w:hAnsi="Times New Roman" w:eastAsia="仿宋_GB2312"/>
          <w:kern w:val="4"/>
          <w:sz w:val="30"/>
          <w:szCs w:val="30"/>
        </w:rPr>
        <w:t>高铁</w:t>
      </w:r>
      <w:r>
        <w:rPr>
          <w:rFonts w:hint="eastAsia" w:ascii="Times New Roman" w:hAnsi="Times New Roman" w:eastAsia="仿宋_GB2312"/>
          <w:kern w:val="4"/>
          <w:sz w:val="30"/>
          <w:szCs w:val="30"/>
        </w:rPr>
        <w:t>顺利开通</w:t>
      </w:r>
      <w:r>
        <w:rPr>
          <w:rFonts w:ascii="Times New Roman" w:hAnsi="Times New Roman" w:eastAsia="仿宋_GB2312"/>
          <w:kern w:val="4"/>
          <w:sz w:val="30"/>
          <w:szCs w:val="30"/>
        </w:rPr>
        <w:t>，水路交通持续改善，综合交通运输能力显著增强，为全区经济社会持续快速发展奠定了坚实基础。但从总体上看，全区交通运输发展仍然不能满足国民经济和社会发展的需要，</w:t>
      </w:r>
      <w:r>
        <w:rPr>
          <w:rFonts w:hint="eastAsia" w:ascii="Times New Roman" w:hAnsi="Times New Roman" w:eastAsia="仿宋_GB2312"/>
          <w:kern w:val="4"/>
          <w:sz w:val="30"/>
          <w:szCs w:val="30"/>
        </w:rPr>
        <w:t>综合交通</w:t>
      </w:r>
      <w:r>
        <w:rPr>
          <w:rFonts w:ascii="Times New Roman" w:hAnsi="Times New Roman" w:eastAsia="仿宋_GB2312"/>
          <w:kern w:val="4"/>
          <w:sz w:val="30"/>
          <w:szCs w:val="30"/>
        </w:rPr>
        <w:t>体系仍不完善，</w:t>
      </w:r>
      <w:r>
        <w:rPr>
          <w:rFonts w:hint="eastAsia" w:ascii="Times New Roman" w:hAnsi="Times New Roman" w:eastAsia="仿宋_GB2312"/>
          <w:kern w:val="4"/>
          <w:sz w:val="30"/>
          <w:szCs w:val="30"/>
        </w:rPr>
        <w:t>运输</w:t>
      </w:r>
      <w:r>
        <w:rPr>
          <w:rFonts w:ascii="Times New Roman" w:hAnsi="Times New Roman" w:eastAsia="仿宋_GB2312"/>
          <w:kern w:val="4"/>
          <w:sz w:val="30"/>
          <w:szCs w:val="30"/>
        </w:rPr>
        <w:t>运输服务水平和行业管理效能有待进一步提高。</w:t>
      </w:r>
    </w:p>
    <w:p>
      <w:pPr>
        <w:spacing w:line="540" w:lineRule="exact"/>
        <w:ind w:firstLine="600"/>
        <w:rPr>
          <w:rFonts w:ascii="Times New Roman" w:hAnsi="Times New Roman" w:eastAsia="仿宋_GB2312"/>
          <w:kern w:val="4"/>
          <w:sz w:val="30"/>
          <w:szCs w:val="30"/>
          <w:highlight w:val="yellow"/>
        </w:rPr>
      </w:pPr>
      <w:r>
        <w:rPr>
          <w:rFonts w:ascii="Times New Roman" w:hAnsi="Times New Roman" w:eastAsia="仿宋_GB2312"/>
          <w:kern w:val="4"/>
          <w:sz w:val="30"/>
          <w:szCs w:val="30"/>
        </w:rPr>
        <w:t>“十三五”（2016—2020年）是</w:t>
      </w:r>
      <w:r>
        <w:rPr>
          <w:rFonts w:hint="eastAsia" w:ascii="Times New Roman" w:hAnsi="Times New Roman" w:eastAsia="仿宋_GB2312"/>
          <w:kern w:val="4"/>
          <w:sz w:val="30"/>
          <w:szCs w:val="30"/>
        </w:rPr>
        <w:t>溧水加快转变经济发展方式，实现转型创新跨越发展的强力攻坚期，是有效融入长三角城市群发展的关键突破期，是在全面建成更高水平小康社会基础上，积极探索开启基本实现现代化新征程的关键发展期。现代综合交通运输体系是经济社会发展的重要基础，是建设经济强、百姓富、环境美、社会文明程度高的新溧水的重要支撑和保障。</w:t>
      </w:r>
    </w:p>
    <w:p>
      <w:pPr>
        <w:spacing w:line="540" w:lineRule="exact"/>
        <w:ind w:firstLine="600"/>
        <w:rPr>
          <w:rFonts w:eastAsia="仿宋_GB2312"/>
          <w:kern w:val="4"/>
          <w:sz w:val="30"/>
          <w:szCs w:val="30"/>
        </w:rPr>
      </w:pPr>
      <w:r>
        <w:rPr>
          <w:rFonts w:eastAsia="仿宋_GB2312"/>
          <w:kern w:val="4"/>
          <w:sz w:val="30"/>
          <w:szCs w:val="30"/>
        </w:rPr>
        <w:t>《</w:t>
      </w:r>
      <w:r>
        <w:rPr>
          <w:rFonts w:hint="eastAsia" w:eastAsia="仿宋_GB2312"/>
          <w:kern w:val="4"/>
          <w:sz w:val="30"/>
          <w:szCs w:val="30"/>
        </w:rPr>
        <w:t>溧水区</w:t>
      </w:r>
      <w:r>
        <w:rPr>
          <w:rFonts w:eastAsia="仿宋_GB2312"/>
          <w:kern w:val="4"/>
          <w:sz w:val="30"/>
          <w:szCs w:val="30"/>
        </w:rPr>
        <w:t>“十三五”交通运输发展规划》（以下简称《规划》）是</w:t>
      </w:r>
      <w:r>
        <w:rPr>
          <w:rFonts w:hint="eastAsia" w:eastAsia="仿宋_GB2312"/>
          <w:kern w:val="4"/>
          <w:sz w:val="30"/>
          <w:szCs w:val="30"/>
        </w:rPr>
        <w:t>区</w:t>
      </w:r>
      <w:r>
        <w:rPr>
          <w:rFonts w:eastAsia="仿宋_GB2312"/>
          <w:kern w:val="4"/>
          <w:sz w:val="30"/>
          <w:szCs w:val="30"/>
        </w:rPr>
        <w:t>政府确定的重点专项规划之一。《规划》</w:t>
      </w:r>
      <w:r>
        <w:rPr>
          <w:rFonts w:hint="eastAsia" w:eastAsia="仿宋_GB2312"/>
          <w:kern w:val="4"/>
          <w:sz w:val="30"/>
          <w:szCs w:val="30"/>
        </w:rPr>
        <w:t>以</w:t>
      </w:r>
      <w:r>
        <w:rPr>
          <w:rFonts w:eastAsia="仿宋_GB2312"/>
          <w:kern w:val="4"/>
          <w:sz w:val="30"/>
          <w:szCs w:val="30"/>
        </w:rPr>
        <w:t>《</w:t>
      </w:r>
      <w:r>
        <w:rPr>
          <w:rFonts w:hint="eastAsia" w:eastAsia="仿宋_GB2312"/>
          <w:kern w:val="4"/>
          <w:sz w:val="30"/>
          <w:szCs w:val="30"/>
        </w:rPr>
        <w:t>南京市溧水区国民经济和社会发展第十三个五年规划纲要</w:t>
      </w:r>
      <w:r>
        <w:rPr>
          <w:rFonts w:eastAsia="仿宋_GB2312"/>
          <w:kern w:val="4"/>
          <w:sz w:val="30"/>
          <w:szCs w:val="30"/>
        </w:rPr>
        <w:t>》</w:t>
      </w:r>
      <w:r>
        <w:rPr>
          <w:rFonts w:hint="eastAsia" w:eastAsia="仿宋_GB2312"/>
          <w:kern w:val="4"/>
          <w:sz w:val="30"/>
          <w:szCs w:val="30"/>
        </w:rPr>
        <w:t>、最新《南京市溧水区城乡总体规划》、《南京市交通运输“十三五”发展规划》、《南京交通</w:t>
      </w:r>
      <w:r>
        <w:rPr>
          <w:rFonts w:eastAsia="仿宋_GB2312"/>
          <w:kern w:val="4"/>
          <w:sz w:val="30"/>
          <w:szCs w:val="30"/>
        </w:rPr>
        <w:t>发展白皮书</w:t>
      </w:r>
      <w:r>
        <w:rPr>
          <w:rFonts w:hint="eastAsia" w:eastAsia="仿宋_GB2312"/>
          <w:kern w:val="4"/>
          <w:sz w:val="30"/>
          <w:szCs w:val="30"/>
        </w:rPr>
        <w:t>》等上位规划为指导，结合《溧水区城市综合</w:t>
      </w:r>
      <w:r>
        <w:rPr>
          <w:rFonts w:eastAsia="仿宋_GB2312"/>
          <w:kern w:val="4"/>
          <w:sz w:val="30"/>
          <w:szCs w:val="30"/>
        </w:rPr>
        <w:t>交通</w:t>
      </w:r>
      <w:r>
        <w:rPr>
          <w:rFonts w:hint="eastAsia" w:eastAsia="仿宋_GB2312"/>
          <w:kern w:val="4"/>
          <w:sz w:val="30"/>
          <w:szCs w:val="30"/>
        </w:rPr>
        <w:t>体系</w:t>
      </w:r>
      <w:r>
        <w:rPr>
          <w:rFonts w:eastAsia="仿宋_GB2312"/>
          <w:kern w:val="4"/>
          <w:sz w:val="30"/>
          <w:szCs w:val="30"/>
        </w:rPr>
        <w:t>规划</w:t>
      </w:r>
      <w:r>
        <w:rPr>
          <w:rFonts w:hint="eastAsia" w:eastAsia="仿宋_GB2312"/>
          <w:kern w:val="4"/>
          <w:sz w:val="30"/>
          <w:szCs w:val="30"/>
        </w:rPr>
        <w:t>》最新研究</w:t>
      </w:r>
      <w:r>
        <w:rPr>
          <w:rFonts w:eastAsia="仿宋_GB2312"/>
          <w:kern w:val="4"/>
          <w:sz w:val="30"/>
          <w:szCs w:val="30"/>
        </w:rPr>
        <w:t>成果</w:t>
      </w:r>
      <w:r>
        <w:rPr>
          <w:rFonts w:hint="eastAsia" w:eastAsia="仿宋_GB2312"/>
          <w:kern w:val="4"/>
          <w:sz w:val="30"/>
          <w:szCs w:val="30"/>
        </w:rPr>
        <w:t>，按照构建</w:t>
      </w:r>
      <w:r>
        <w:rPr>
          <w:rFonts w:eastAsia="仿宋_GB2312"/>
          <w:kern w:val="4"/>
          <w:sz w:val="30"/>
          <w:szCs w:val="30"/>
        </w:rPr>
        <w:t>现代综合交通运输体系总体发展要求，明确“十三五”期</w:t>
      </w:r>
      <w:r>
        <w:rPr>
          <w:rFonts w:hint="eastAsia" w:eastAsia="仿宋_GB2312"/>
          <w:kern w:val="4"/>
          <w:sz w:val="30"/>
          <w:szCs w:val="30"/>
        </w:rPr>
        <w:t>溧水</w:t>
      </w:r>
      <w:r>
        <w:rPr>
          <w:rFonts w:eastAsia="仿宋_GB2312"/>
          <w:kern w:val="4"/>
          <w:sz w:val="30"/>
          <w:szCs w:val="30"/>
        </w:rPr>
        <w:t>区交通运输的发展目标、重点任务和政策取向，</w:t>
      </w:r>
      <w:r>
        <w:rPr>
          <w:rFonts w:hint="eastAsia" w:eastAsia="仿宋_GB2312"/>
          <w:kern w:val="4"/>
          <w:sz w:val="30"/>
          <w:szCs w:val="30"/>
        </w:rPr>
        <w:t>是政府履行职责的重要依据，</w:t>
      </w:r>
      <w:r>
        <w:rPr>
          <w:rFonts w:eastAsia="仿宋_GB2312"/>
          <w:kern w:val="4"/>
          <w:sz w:val="30"/>
          <w:szCs w:val="30"/>
        </w:rPr>
        <w:t>是指导今后五年</w:t>
      </w:r>
      <w:r>
        <w:rPr>
          <w:rFonts w:hint="eastAsia" w:eastAsia="仿宋_GB2312"/>
          <w:kern w:val="4"/>
          <w:sz w:val="30"/>
          <w:szCs w:val="30"/>
        </w:rPr>
        <w:t>溧水综合</w:t>
      </w:r>
      <w:r>
        <w:rPr>
          <w:rFonts w:eastAsia="仿宋_GB2312"/>
          <w:kern w:val="4"/>
          <w:sz w:val="30"/>
          <w:szCs w:val="30"/>
        </w:rPr>
        <w:t>交通运输发展的纲领性文件。</w:t>
      </w:r>
    </w:p>
    <w:p>
      <w:pPr>
        <w:spacing w:line="560" w:lineRule="exact"/>
        <w:ind w:firstLine="0" w:firstLineChars="0"/>
        <w:rPr>
          <w:rFonts w:ascii="Times New Roman" w:hAnsi="Times New Roman" w:eastAsia="华文仿宋"/>
          <w:bCs/>
          <w:kern w:val="4"/>
          <w:sz w:val="30"/>
          <w:szCs w:val="30"/>
        </w:rPr>
        <w:sectPr>
          <w:headerReference r:id="rId12" w:type="default"/>
          <w:footerReference r:id="rId13" w:type="default"/>
          <w:pgSz w:w="11906" w:h="16838"/>
          <w:pgMar w:top="1701" w:right="1418" w:bottom="1418" w:left="1418" w:header="1247" w:footer="992" w:gutter="0"/>
          <w:pgNumType w:start="1"/>
          <w:cols w:space="425" w:num="1"/>
          <w:docGrid w:type="linesAndChars" w:linePitch="381" w:charSpace="0"/>
        </w:sectPr>
      </w:pPr>
    </w:p>
    <w:p>
      <w:pPr>
        <w:spacing w:line="1200" w:lineRule="exact"/>
        <w:ind w:firstLine="0" w:firstLineChars="0"/>
        <w:jc w:val="center"/>
        <w:outlineLvl w:val="0"/>
        <w:rPr>
          <w:rFonts w:ascii="Times New Roman" w:hAnsi="Times New Roman" w:eastAsia="华文新魏"/>
          <w:kern w:val="4"/>
          <w:sz w:val="44"/>
          <w:szCs w:val="44"/>
        </w:rPr>
      </w:pPr>
      <w:bookmarkStart w:id="1" w:name="_Toc438123183"/>
      <w:bookmarkStart w:id="2" w:name="_Toc429487885"/>
      <w:r>
        <w:rPr>
          <w:rFonts w:ascii="Times New Roman" w:hAnsi="Times New Roman" w:eastAsia="华文新魏"/>
          <w:kern w:val="4"/>
          <w:sz w:val="44"/>
          <w:szCs w:val="44"/>
        </w:rPr>
        <w:t>第一章“十二五”发展回顾与评价</w:t>
      </w:r>
      <w:bookmarkEnd w:id="1"/>
      <w:bookmarkEnd w:id="2"/>
    </w:p>
    <w:p>
      <w:pPr>
        <w:spacing w:line="960" w:lineRule="exact"/>
        <w:ind w:firstLine="0" w:firstLineChars="0"/>
        <w:outlineLvl w:val="1"/>
        <w:rPr>
          <w:rFonts w:ascii="Times New Roman" w:hAnsi="Times New Roman" w:eastAsia="黑体"/>
          <w:kern w:val="4"/>
          <w:sz w:val="32"/>
          <w:szCs w:val="28"/>
        </w:rPr>
      </w:pPr>
      <w:bookmarkStart w:id="3" w:name="_Toc429487886"/>
      <w:bookmarkStart w:id="4" w:name="_Toc438123184"/>
      <w:r>
        <w:rPr>
          <w:rFonts w:ascii="Times New Roman" w:hAnsi="Times New Roman" w:eastAsia="黑体"/>
          <w:kern w:val="4"/>
          <w:sz w:val="32"/>
          <w:szCs w:val="28"/>
        </w:rPr>
        <w:t>1.1主要成绩</w:t>
      </w:r>
      <w:bookmarkEnd w:id="3"/>
      <w:bookmarkEnd w:id="4"/>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“十二五”期间，在区委、区政府和省市交通运输主管部门的正确领导下，在区各有关部门的大力支持下，溧水区交通运输局克服工程项目多、资金需求大、土地矛盾突出等问题，全面推进公路、铁路、轨道</w:t>
      </w:r>
      <w:r>
        <w:rPr>
          <w:rFonts w:hint="eastAsia" w:ascii="Times New Roman" w:hAnsi="Times New Roman" w:eastAsia="仿宋_GB2312"/>
          <w:kern w:val="4"/>
          <w:sz w:val="30"/>
          <w:szCs w:val="30"/>
        </w:rPr>
        <w:t>、</w:t>
      </w:r>
      <w:r>
        <w:rPr>
          <w:rFonts w:ascii="Times New Roman" w:hAnsi="Times New Roman" w:eastAsia="仿宋_GB2312"/>
          <w:kern w:val="4"/>
          <w:sz w:val="30"/>
          <w:szCs w:val="30"/>
        </w:rPr>
        <w:t>航道等多种运输方式协调发展，不断提升客货</w:t>
      </w:r>
      <w:r>
        <w:rPr>
          <w:rFonts w:hint="eastAsia" w:ascii="Times New Roman" w:hAnsi="Times New Roman" w:eastAsia="仿宋_GB2312"/>
          <w:kern w:val="4"/>
          <w:sz w:val="30"/>
          <w:szCs w:val="30"/>
        </w:rPr>
        <w:t>运输</w:t>
      </w:r>
      <w:r>
        <w:rPr>
          <w:rFonts w:ascii="Times New Roman" w:hAnsi="Times New Roman" w:eastAsia="仿宋_GB2312"/>
          <w:kern w:val="4"/>
          <w:sz w:val="30"/>
          <w:szCs w:val="30"/>
        </w:rPr>
        <w:t>服务水平，持续优化</w:t>
      </w:r>
      <w:r>
        <w:rPr>
          <w:rFonts w:hint="eastAsia" w:ascii="Times New Roman" w:hAnsi="Times New Roman" w:eastAsia="仿宋_GB2312"/>
          <w:kern w:val="4"/>
          <w:sz w:val="30"/>
          <w:szCs w:val="30"/>
        </w:rPr>
        <w:t>交通</w:t>
      </w:r>
      <w:r>
        <w:rPr>
          <w:rFonts w:ascii="Times New Roman" w:hAnsi="Times New Roman" w:eastAsia="仿宋_GB2312"/>
          <w:kern w:val="4"/>
          <w:sz w:val="30"/>
          <w:szCs w:val="30"/>
        </w:rPr>
        <w:t>运输行业管理，为全区经济社会发展提供了有力支撑。</w:t>
      </w:r>
    </w:p>
    <w:p>
      <w:pPr>
        <w:spacing w:line="560" w:lineRule="exact"/>
        <w:ind w:firstLine="602"/>
        <w:outlineLvl w:val="3"/>
        <w:rPr>
          <w:rFonts w:ascii="Times New Roman" w:hAnsi="Times New Roman" w:eastAsia="仿宋_GB2312"/>
          <w:b/>
          <w:kern w:val="4"/>
          <w:sz w:val="30"/>
          <w:szCs w:val="30"/>
        </w:rPr>
      </w:pPr>
      <w:r>
        <w:rPr>
          <w:rFonts w:ascii="Times New Roman" w:hAnsi="Times New Roman" w:eastAsia="仿宋_GB2312"/>
          <w:b/>
          <w:kern w:val="4"/>
          <w:sz w:val="30"/>
          <w:szCs w:val="30"/>
        </w:rPr>
        <w:t>1、基础设施建设成绩显著</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（1）公路</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“十二五”是溧水区公路发展最快的五年，累计完成公路建设投资约54.0亿元，服务经济社会发展能力明显增强。</w:t>
      </w:r>
    </w:p>
    <w:p>
      <w:pPr>
        <w:spacing w:line="560" w:lineRule="exact"/>
        <w:ind w:firstLine="602"/>
        <w:rPr>
          <w:rFonts w:ascii="Times New Roman" w:hAnsi="Times New Roman" w:eastAsia="仿宋_GB2312"/>
          <w:kern w:val="4"/>
          <w:sz w:val="30"/>
          <w:szCs w:val="30"/>
        </w:rPr>
      </w:pPr>
      <w:r>
        <w:rPr>
          <w:rFonts w:ascii="Times New Roman" w:hAnsi="Times New Roman" w:eastAsia="仿宋_GB2312"/>
          <w:b/>
          <w:kern w:val="4"/>
          <w:sz w:val="30"/>
          <w:szCs w:val="30"/>
        </w:rPr>
        <w:t>加大国省干线公路建设力度。</w:t>
      </w:r>
      <w:r>
        <w:rPr>
          <w:rFonts w:ascii="Times New Roman" w:hAnsi="Times New Roman" w:eastAsia="仿宋_GB2312"/>
          <w:kern w:val="4"/>
          <w:sz w:val="30"/>
          <w:szCs w:val="30"/>
        </w:rPr>
        <w:t>溧马高速公路、淳芜高速公路溧水段</w:t>
      </w:r>
      <w:r>
        <w:rPr>
          <w:rFonts w:hint="eastAsia" w:ascii="Times New Roman" w:hAnsi="Times New Roman" w:eastAsia="仿宋_GB2312"/>
          <w:kern w:val="4"/>
          <w:sz w:val="30"/>
          <w:szCs w:val="30"/>
        </w:rPr>
        <w:t>和</w:t>
      </w:r>
      <w:r>
        <w:rPr>
          <w:rFonts w:ascii="Times New Roman" w:hAnsi="Times New Roman" w:eastAsia="仿宋_GB2312"/>
          <w:kern w:val="4"/>
          <w:sz w:val="30"/>
          <w:szCs w:val="30"/>
        </w:rPr>
        <w:t>宁高新通道溧水段建成通车；246省道溧水至高淳</w:t>
      </w:r>
      <w:r>
        <w:rPr>
          <w:rFonts w:hint="eastAsia" w:ascii="Times New Roman" w:hAnsi="Times New Roman" w:eastAsia="仿宋_GB2312"/>
          <w:kern w:val="4"/>
          <w:sz w:val="30"/>
          <w:szCs w:val="30"/>
        </w:rPr>
        <w:t>段</w:t>
      </w:r>
      <w:r>
        <w:rPr>
          <w:rFonts w:ascii="Times New Roman" w:hAnsi="Times New Roman" w:eastAsia="仿宋_GB2312"/>
          <w:kern w:val="4"/>
          <w:sz w:val="30"/>
          <w:szCs w:val="30"/>
        </w:rPr>
        <w:t>29.92公里完成建设，溧水至南京段13.88公里正在建设</w:t>
      </w:r>
      <w:r>
        <w:rPr>
          <w:rFonts w:hint="eastAsia" w:ascii="Times New Roman" w:hAnsi="Times New Roman" w:eastAsia="仿宋_GB2312"/>
          <w:kern w:val="4"/>
          <w:sz w:val="30"/>
          <w:szCs w:val="30"/>
        </w:rPr>
        <w:t>当中</w:t>
      </w:r>
      <w:r>
        <w:rPr>
          <w:rFonts w:ascii="Times New Roman" w:hAnsi="Times New Roman" w:eastAsia="仿宋_GB2312"/>
          <w:kern w:val="4"/>
          <w:sz w:val="30"/>
          <w:szCs w:val="30"/>
        </w:rPr>
        <w:t>；完成341省道白马至晶桥5.9公里先导段</w:t>
      </w:r>
      <w:r>
        <w:rPr>
          <w:rFonts w:hint="eastAsia" w:ascii="Times New Roman" w:hAnsi="Times New Roman" w:eastAsia="仿宋_GB2312"/>
          <w:kern w:val="4"/>
          <w:sz w:val="30"/>
          <w:szCs w:val="30"/>
        </w:rPr>
        <w:t>和</w:t>
      </w:r>
      <w:r>
        <w:rPr>
          <w:rFonts w:ascii="Times New Roman" w:hAnsi="Times New Roman" w:eastAsia="仿宋_GB2312"/>
          <w:kern w:val="4"/>
          <w:sz w:val="30"/>
          <w:szCs w:val="30"/>
        </w:rPr>
        <w:t>340省道溧水长乐4.6公里先导段</w:t>
      </w:r>
      <w:r>
        <w:rPr>
          <w:rFonts w:hint="eastAsia" w:ascii="Times New Roman" w:hAnsi="Times New Roman" w:eastAsia="仿宋_GB2312"/>
          <w:kern w:val="4"/>
          <w:sz w:val="30"/>
          <w:szCs w:val="30"/>
        </w:rPr>
        <w:t>建设</w:t>
      </w:r>
      <w:r>
        <w:rPr>
          <w:rFonts w:ascii="Times New Roman" w:hAnsi="Times New Roman" w:eastAsia="仿宋_GB2312"/>
          <w:kern w:val="4"/>
          <w:sz w:val="30"/>
          <w:szCs w:val="30"/>
        </w:rPr>
        <w:t>；204省道（老123省道）改造前期工作稳步推进。截至2015年底，全区高速公路通车里程约104.86公里，普通国省道里程达到151公里，在建61.88公里。</w:t>
      </w:r>
    </w:p>
    <w:p>
      <w:pPr>
        <w:spacing w:line="560" w:lineRule="exact"/>
        <w:ind w:firstLine="602"/>
        <w:rPr>
          <w:rFonts w:ascii="Times New Roman" w:hAnsi="Times New Roman" w:eastAsia="仿宋_GB2312"/>
          <w:kern w:val="4"/>
          <w:szCs w:val="28"/>
        </w:rPr>
      </w:pPr>
      <w:r>
        <w:rPr>
          <w:rFonts w:ascii="Times New Roman" w:hAnsi="Times New Roman" w:eastAsia="仿宋_GB2312"/>
          <w:b/>
          <w:kern w:val="4"/>
          <w:sz w:val="30"/>
          <w:szCs w:val="30"/>
        </w:rPr>
        <w:t>大力推进农村公路提档升级。</w:t>
      </w:r>
      <w:r>
        <w:rPr>
          <w:rFonts w:ascii="Times New Roman" w:hAnsi="Times New Roman" w:eastAsia="仿宋_GB2312"/>
          <w:kern w:val="4"/>
          <w:sz w:val="30"/>
          <w:szCs w:val="30"/>
        </w:rPr>
        <w:t>开工建设天生桥大道、乌东公路、戴山公路、白袁公路、竹海大道、芝沙线等农村公路提档升级工程项目，里程约277公里。截至2015年底，全区农村公路总里程达1428.48公里。</w:t>
      </w:r>
    </w:p>
    <w:p>
      <w:pPr>
        <w:spacing w:line="560" w:lineRule="exact"/>
        <w:ind w:firstLine="602"/>
        <w:rPr>
          <w:rFonts w:ascii="Times New Roman" w:hAnsi="Times New Roman" w:eastAsia="仿宋_GB2312"/>
          <w:kern w:val="4"/>
          <w:sz w:val="30"/>
          <w:szCs w:val="30"/>
        </w:rPr>
      </w:pPr>
      <w:r>
        <w:rPr>
          <w:rFonts w:ascii="Times New Roman" w:hAnsi="Times New Roman" w:eastAsia="仿宋_GB2312"/>
          <w:b/>
          <w:sz w:val="30"/>
          <w:szCs w:val="30"/>
        </w:rPr>
        <w:t>路网技术等级结构逐步优化</w:t>
      </w:r>
      <w:r>
        <w:rPr>
          <w:rFonts w:ascii="Times New Roman" w:hAnsi="Times New Roman" w:eastAsia="仿宋_GB2312"/>
          <w:sz w:val="30"/>
          <w:szCs w:val="30"/>
        </w:rPr>
        <w:t>。</w:t>
      </w:r>
      <w:r>
        <w:rPr>
          <w:rFonts w:ascii="Times New Roman" w:hAnsi="Times New Roman" w:eastAsia="仿宋_GB2312"/>
          <w:kern w:val="4"/>
          <w:sz w:val="30"/>
          <w:szCs w:val="30"/>
        </w:rPr>
        <w:t>截至2015年底，全区公路总里程1738.10公里，较2010年底增加</w:t>
      </w:r>
      <w:r>
        <w:rPr>
          <w:rFonts w:hint="eastAsia" w:ascii="Times New Roman" w:hAnsi="Times New Roman" w:eastAsia="仿宋_GB2312"/>
          <w:kern w:val="4"/>
          <w:sz w:val="30"/>
          <w:szCs w:val="30"/>
        </w:rPr>
        <w:t>177.76公里、增长</w:t>
      </w:r>
      <w:r>
        <w:rPr>
          <w:rFonts w:ascii="Times New Roman" w:hAnsi="Times New Roman" w:eastAsia="仿宋_GB2312"/>
          <w:kern w:val="4"/>
          <w:sz w:val="30"/>
          <w:szCs w:val="30"/>
        </w:rPr>
        <w:t>11.39%，二级及以上公路</w:t>
      </w:r>
      <w:r>
        <w:rPr>
          <w:rFonts w:hint="eastAsia" w:ascii="Times New Roman" w:hAnsi="Times New Roman" w:eastAsia="仿宋_GB2312"/>
          <w:kern w:val="4"/>
          <w:sz w:val="30"/>
          <w:szCs w:val="30"/>
        </w:rPr>
        <w:t>里程</w:t>
      </w:r>
      <w:r>
        <w:rPr>
          <w:rFonts w:ascii="Times New Roman" w:hAnsi="Times New Roman" w:eastAsia="仿宋_GB2312"/>
          <w:kern w:val="4"/>
          <w:sz w:val="30"/>
          <w:szCs w:val="30"/>
        </w:rPr>
        <w:t>417.4公里，较2010年底增加</w:t>
      </w:r>
      <w:r>
        <w:rPr>
          <w:rFonts w:hint="eastAsia" w:ascii="Times New Roman" w:hAnsi="Times New Roman" w:eastAsia="仿宋_GB2312"/>
          <w:kern w:val="4"/>
          <w:sz w:val="30"/>
          <w:szCs w:val="30"/>
        </w:rPr>
        <w:t>94.39公里</w:t>
      </w:r>
      <w:r>
        <w:rPr>
          <w:rFonts w:ascii="Times New Roman" w:hAnsi="Times New Roman" w:eastAsia="仿宋_GB2312"/>
          <w:kern w:val="4"/>
          <w:sz w:val="30"/>
          <w:szCs w:val="30"/>
        </w:rPr>
        <w:t>，二级及以上公路占公路总里程比例达到24.10%，公路网等级指数由3.34提高至3.22，</w:t>
      </w:r>
      <w:r>
        <w:rPr>
          <w:rFonts w:hint="eastAsia" w:ascii="Times New Roman" w:hAnsi="Times New Roman" w:eastAsia="仿宋_GB2312"/>
          <w:kern w:val="4"/>
          <w:sz w:val="30"/>
          <w:szCs w:val="30"/>
        </w:rPr>
        <w:t>溧水区至周边县市区和各乡镇交通</w:t>
      </w:r>
      <w:r>
        <w:rPr>
          <w:rFonts w:ascii="Times New Roman" w:hAnsi="Times New Roman" w:eastAsia="仿宋_GB2312"/>
          <w:kern w:val="4"/>
          <w:sz w:val="30"/>
          <w:szCs w:val="30"/>
        </w:rPr>
        <w:t>通行条件较大改善。</w:t>
      </w:r>
    </w:p>
    <w:p>
      <w:pPr>
        <w:spacing w:line="560" w:lineRule="exact"/>
        <w:ind w:firstLine="199" w:firstLineChars="83"/>
        <w:jc w:val="center"/>
        <w:rPr>
          <w:rFonts w:ascii="Times New Roman" w:hAnsi="Times New Roman" w:eastAsia="黑体"/>
          <w:bCs/>
          <w:kern w:val="4"/>
          <w:sz w:val="24"/>
        </w:rPr>
      </w:pPr>
      <w:r>
        <w:rPr>
          <w:rFonts w:ascii="Times New Roman" w:hAnsi="Times New Roman" w:eastAsia="黑体"/>
          <w:bCs/>
          <w:kern w:val="4"/>
          <w:sz w:val="24"/>
        </w:rPr>
        <w:t>表1-1溧水区公路技术等级对比表</w:t>
      </w:r>
    </w:p>
    <w:tbl>
      <w:tblPr>
        <w:tblStyle w:val="30"/>
        <w:tblW w:w="905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1564"/>
        <w:gridCol w:w="950"/>
        <w:gridCol w:w="949"/>
        <w:gridCol w:w="949"/>
        <w:gridCol w:w="951"/>
        <w:gridCol w:w="949"/>
        <w:gridCol w:w="949"/>
        <w:gridCol w:w="951"/>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369" w:hRule="atLeast"/>
          <w:jc w:val="center"/>
        </w:trPr>
        <w:tc>
          <w:tcPr>
            <w:tcW w:w="466" w:type="pct"/>
            <w:tcBorders>
              <w:top w:val="double" w:color="auto" w:sz="4" w:space="0"/>
            </w:tcBorders>
            <w:noWrap/>
            <w:vAlign w:val="center"/>
          </w:tcPr>
          <w:p>
            <w:pPr>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年份</w:t>
            </w:r>
          </w:p>
        </w:tc>
        <w:tc>
          <w:tcPr>
            <w:tcW w:w="862" w:type="pct"/>
            <w:tcBorders>
              <w:top w:val="double" w:color="auto" w:sz="4" w:space="0"/>
            </w:tcBorders>
            <w:noWrap/>
            <w:vAlign w:val="center"/>
          </w:tcPr>
          <w:p>
            <w:pPr>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类别</w:t>
            </w:r>
          </w:p>
        </w:tc>
        <w:tc>
          <w:tcPr>
            <w:tcW w:w="524" w:type="pct"/>
            <w:tcBorders>
              <w:top w:val="double" w:color="auto" w:sz="4" w:space="0"/>
            </w:tcBorders>
            <w:noWrap/>
            <w:vAlign w:val="center"/>
          </w:tcPr>
          <w:p>
            <w:pPr>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高速</w:t>
            </w:r>
          </w:p>
          <w:p>
            <w:pPr>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公路</w:t>
            </w:r>
          </w:p>
        </w:tc>
        <w:tc>
          <w:tcPr>
            <w:tcW w:w="524" w:type="pct"/>
            <w:tcBorders>
              <w:top w:val="double" w:color="auto" w:sz="4" w:space="0"/>
            </w:tcBorders>
            <w:noWrap/>
            <w:vAlign w:val="center"/>
          </w:tcPr>
          <w:p>
            <w:pPr>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一级</w:t>
            </w:r>
          </w:p>
          <w:p>
            <w:pPr>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公路</w:t>
            </w:r>
          </w:p>
        </w:tc>
        <w:tc>
          <w:tcPr>
            <w:tcW w:w="524" w:type="pct"/>
            <w:tcBorders>
              <w:top w:val="double" w:color="auto" w:sz="4" w:space="0"/>
            </w:tcBorders>
            <w:noWrap/>
            <w:vAlign w:val="center"/>
          </w:tcPr>
          <w:p>
            <w:pPr>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二级</w:t>
            </w:r>
          </w:p>
          <w:p>
            <w:pPr>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公路</w:t>
            </w:r>
          </w:p>
        </w:tc>
        <w:tc>
          <w:tcPr>
            <w:tcW w:w="525" w:type="pct"/>
            <w:tcBorders>
              <w:top w:val="double" w:color="auto" w:sz="4" w:space="0"/>
            </w:tcBorders>
            <w:noWrap/>
            <w:vAlign w:val="center"/>
          </w:tcPr>
          <w:p>
            <w:pPr>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三级</w:t>
            </w:r>
          </w:p>
          <w:p>
            <w:pPr>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公路</w:t>
            </w:r>
          </w:p>
        </w:tc>
        <w:tc>
          <w:tcPr>
            <w:tcW w:w="524" w:type="pct"/>
            <w:tcBorders>
              <w:top w:val="double" w:color="auto" w:sz="4" w:space="0"/>
            </w:tcBorders>
            <w:noWrap/>
            <w:vAlign w:val="center"/>
          </w:tcPr>
          <w:p>
            <w:pPr>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四级</w:t>
            </w:r>
          </w:p>
          <w:p>
            <w:pPr>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公路</w:t>
            </w:r>
          </w:p>
        </w:tc>
        <w:tc>
          <w:tcPr>
            <w:tcW w:w="524" w:type="pct"/>
            <w:tcBorders>
              <w:top w:val="double" w:color="auto" w:sz="4" w:space="0"/>
            </w:tcBorders>
            <w:noWrap/>
            <w:vAlign w:val="center"/>
          </w:tcPr>
          <w:p>
            <w:pPr>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等外</w:t>
            </w:r>
          </w:p>
          <w:p>
            <w:pPr>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公路</w:t>
            </w:r>
          </w:p>
        </w:tc>
        <w:tc>
          <w:tcPr>
            <w:tcW w:w="525" w:type="pct"/>
            <w:tcBorders>
              <w:top w:val="double" w:color="auto" w:sz="4" w:space="0"/>
            </w:tcBorders>
            <w:noWrap/>
            <w:vAlign w:val="center"/>
          </w:tcPr>
          <w:p>
            <w:pPr>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合计</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6" w:type="pct"/>
            <w:vMerge w:val="restart"/>
            <w:noWrap/>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2010</w:t>
            </w:r>
          </w:p>
        </w:tc>
        <w:tc>
          <w:tcPr>
            <w:tcW w:w="862" w:type="pct"/>
            <w:noWrap/>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总里程（公里）</w:t>
            </w:r>
          </w:p>
        </w:tc>
        <w:tc>
          <w:tcPr>
            <w:tcW w:w="524" w:type="pct"/>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92.38</w:t>
            </w:r>
          </w:p>
        </w:tc>
        <w:tc>
          <w:tcPr>
            <w:tcW w:w="524" w:type="pct"/>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71.92</w:t>
            </w:r>
          </w:p>
        </w:tc>
        <w:tc>
          <w:tcPr>
            <w:tcW w:w="524" w:type="pct"/>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158.71</w:t>
            </w:r>
          </w:p>
        </w:tc>
        <w:tc>
          <w:tcPr>
            <w:tcW w:w="525" w:type="pct"/>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164.91</w:t>
            </w:r>
          </w:p>
        </w:tc>
        <w:tc>
          <w:tcPr>
            <w:tcW w:w="524" w:type="pct"/>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1042.19</w:t>
            </w:r>
          </w:p>
        </w:tc>
        <w:tc>
          <w:tcPr>
            <w:tcW w:w="524" w:type="pct"/>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30.23</w:t>
            </w:r>
          </w:p>
        </w:tc>
        <w:tc>
          <w:tcPr>
            <w:tcW w:w="525" w:type="pct"/>
            <w:noWrap/>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1560.34</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6" w:type="pct"/>
            <w:vMerge w:val="continue"/>
            <w:vAlign w:val="center"/>
          </w:tcPr>
          <w:p>
            <w:pPr>
              <w:ind w:firstLine="0" w:firstLineChars="0"/>
              <w:jc w:val="center"/>
              <w:rPr>
                <w:rFonts w:ascii="Times New Roman" w:hAnsi="Times New Roman" w:eastAsia="楷体"/>
                <w:kern w:val="4"/>
                <w:sz w:val="21"/>
                <w:szCs w:val="21"/>
              </w:rPr>
            </w:pPr>
          </w:p>
        </w:tc>
        <w:tc>
          <w:tcPr>
            <w:tcW w:w="862" w:type="pct"/>
            <w:noWrap/>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结构比例（%）</w:t>
            </w:r>
          </w:p>
        </w:tc>
        <w:tc>
          <w:tcPr>
            <w:tcW w:w="524" w:type="pct"/>
            <w:noWrap/>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5.92</w:t>
            </w:r>
          </w:p>
        </w:tc>
        <w:tc>
          <w:tcPr>
            <w:tcW w:w="524" w:type="pct"/>
            <w:noWrap/>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4.61</w:t>
            </w:r>
          </w:p>
        </w:tc>
        <w:tc>
          <w:tcPr>
            <w:tcW w:w="524" w:type="pct"/>
            <w:noWrap/>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10.17</w:t>
            </w:r>
          </w:p>
        </w:tc>
        <w:tc>
          <w:tcPr>
            <w:tcW w:w="525" w:type="pct"/>
            <w:noWrap/>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10.57</w:t>
            </w:r>
          </w:p>
        </w:tc>
        <w:tc>
          <w:tcPr>
            <w:tcW w:w="524" w:type="pct"/>
            <w:noWrap/>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66.79</w:t>
            </w:r>
          </w:p>
        </w:tc>
        <w:tc>
          <w:tcPr>
            <w:tcW w:w="524" w:type="pct"/>
            <w:noWrap/>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1.94</w:t>
            </w:r>
          </w:p>
        </w:tc>
        <w:tc>
          <w:tcPr>
            <w:tcW w:w="525" w:type="pct"/>
            <w:noWrap/>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100</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6" w:type="pct"/>
            <w:vMerge w:val="restart"/>
            <w:noWrap/>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2015</w:t>
            </w:r>
          </w:p>
        </w:tc>
        <w:tc>
          <w:tcPr>
            <w:tcW w:w="862" w:type="pct"/>
            <w:noWrap/>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总里程（公里）</w:t>
            </w:r>
          </w:p>
        </w:tc>
        <w:tc>
          <w:tcPr>
            <w:tcW w:w="524" w:type="pct"/>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104.86</w:t>
            </w:r>
          </w:p>
        </w:tc>
        <w:tc>
          <w:tcPr>
            <w:tcW w:w="524" w:type="pct"/>
            <w:shd w:val="clear" w:color="000000" w:fill="FFFFFF"/>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118.04</w:t>
            </w:r>
          </w:p>
        </w:tc>
        <w:tc>
          <w:tcPr>
            <w:tcW w:w="524" w:type="pct"/>
            <w:shd w:val="clear" w:color="000000" w:fill="FFFFFF"/>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194.5</w:t>
            </w:r>
          </w:p>
        </w:tc>
        <w:tc>
          <w:tcPr>
            <w:tcW w:w="525" w:type="pct"/>
            <w:shd w:val="clear" w:color="000000" w:fill="FFFFFF"/>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218</w:t>
            </w:r>
          </w:p>
        </w:tc>
        <w:tc>
          <w:tcPr>
            <w:tcW w:w="524" w:type="pct"/>
            <w:shd w:val="clear" w:color="000000" w:fill="FFFFFF"/>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1075.10</w:t>
            </w:r>
          </w:p>
        </w:tc>
        <w:tc>
          <w:tcPr>
            <w:tcW w:w="524" w:type="pct"/>
            <w:shd w:val="clear" w:color="000000" w:fill="FFFFFF"/>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27.6</w:t>
            </w:r>
          </w:p>
        </w:tc>
        <w:tc>
          <w:tcPr>
            <w:tcW w:w="525" w:type="pct"/>
            <w:noWrap/>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1738.10</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6" w:type="pct"/>
            <w:vMerge w:val="continue"/>
            <w:vAlign w:val="center"/>
          </w:tcPr>
          <w:p>
            <w:pPr>
              <w:ind w:firstLine="0" w:firstLineChars="0"/>
              <w:jc w:val="center"/>
              <w:rPr>
                <w:rFonts w:ascii="Times New Roman" w:hAnsi="Times New Roman" w:eastAsia="楷体"/>
                <w:kern w:val="4"/>
                <w:sz w:val="21"/>
                <w:szCs w:val="21"/>
              </w:rPr>
            </w:pPr>
          </w:p>
        </w:tc>
        <w:tc>
          <w:tcPr>
            <w:tcW w:w="862" w:type="pct"/>
            <w:noWrap/>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结构比例（%）</w:t>
            </w:r>
          </w:p>
        </w:tc>
        <w:tc>
          <w:tcPr>
            <w:tcW w:w="524" w:type="pct"/>
            <w:noWrap/>
            <w:vAlign w:val="center"/>
          </w:tcPr>
          <w:p>
            <w:pPr>
              <w:ind w:firstLine="0" w:firstLineChars="0"/>
              <w:jc w:val="center"/>
              <w:rPr>
                <w:rFonts w:ascii="Times New Roman" w:hAnsi="Times New Roman" w:eastAsia="楷体"/>
                <w:kern w:val="4"/>
                <w:sz w:val="21"/>
                <w:szCs w:val="21"/>
              </w:rPr>
            </w:pPr>
            <w:r>
              <w:rPr>
                <w:rFonts w:ascii="Times New Roman" w:hAnsi="Times New Roman"/>
                <w:kern w:val="4"/>
                <w:sz w:val="21"/>
                <w:szCs w:val="21"/>
              </w:rPr>
              <w:t>6.03</w:t>
            </w:r>
          </w:p>
        </w:tc>
        <w:tc>
          <w:tcPr>
            <w:tcW w:w="524" w:type="pct"/>
            <w:noWrap/>
            <w:vAlign w:val="center"/>
          </w:tcPr>
          <w:p>
            <w:pPr>
              <w:ind w:firstLine="0" w:firstLineChars="0"/>
              <w:jc w:val="center"/>
              <w:rPr>
                <w:rFonts w:ascii="Times New Roman" w:hAnsi="Times New Roman" w:eastAsia="楷体"/>
                <w:kern w:val="4"/>
                <w:sz w:val="21"/>
                <w:szCs w:val="21"/>
              </w:rPr>
            </w:pPr>
            <w:r>
              <w:rPr>
                <w:rFonts w:ascii="Times New Roman" w:hAnsi="Times New Roman"/>
                <w:kern w:val="4"/>
                <w:sz w:val="21"/>
                <w:szCs w:val="21"/>
              </w:rPr>
              <w:t>6.79</w:t>
            </w:r>
          </w:p>
        </w:tc>
        <w:tc>
          <w:tcPr>
            <w:tcW w:w="524" w:type="pct"/>
            <w:noWrap/>
            <w:vAlign w:val="center"/>
          </w:tcPr>
          <w:p>
            <w:pPr>
              <w:ind w:firstLine="0" w:firstLineChars="0"/>
              <w:jc w:val="center"/>
              <w:rPr>
                <w:rFonts w:ascii="Times New Roman" w:hAnsi="Times New Roman" w:eastAsia="楷体"/>
                <w:kern w:val="4"/>
                <w:sz w:val="21"/>
                <w:szCs w:val="21"/>
              </w:rPr>
            </w:pPr>
            <w:r>
              <w:rPr>
                <w:rFonts w:ascii="Times New Roman" w:hAnsi="Times New Roman"/>
                <w:kern w:val="4"/>
                <w:sz w:val="21"/>
                <w:szCs w:val="21"/>
              </w:rPr>
              <w:t>11.19</w:t>
            </w:r>
          </w:p>
        </w:tc>
        <w:tc>
          <w:tcPr>
            <w:tcW w:w="525" w:type="pct"/>
            <w:noWrap/>
            <w:vAlign w:val="center"/>
          </w:tcPr>
          <w:p>
            <w:pPr>
              <w:ind w:firstLine="0" w:firstLineChars="0"/>
              <w:jc w:val="center"/>
              <w:rPr>
                <w:rFonts w:ascii="Times New Roman" w:hAnsi="Times New Roman" w:eastAsia="楷体"/>
                <w:kern w:val="4"/>
                <w:sz w:val="21"/>
                <w:szCs w:val="21"/>
              </w:rPr>
            </w:pPr>
            <w:r>
              <w:rPr>
                <w:rFonts w:ascii="Times New Roman" w:hAnsi="Times New Roman"/>
                <w:kern w:val="4"/>
                <w:sz w:val="21"/>
                <w:szCs w:val="21"/>
              </w:rPr>
              <w:t>12.54</w:t>
            </w:r>
          </w:p>
        </w:tc>
        <w:tc>
          <w:tcPr>
            <w:tcW w:w="524" w:type="pct"/>
            <w:noWrap/>
            <w:vAlign w:val="center"/>
          </w:tcPr>
          <w:p>
            <w:pPr>
              <w:ind w:firstLine="0" w:firstLineChars="0"/>
              <w:jc w:val="center"/>
              <w:rPr>
                <w:rFonts w:ascii="Times New Roman" w:hAnsi="Times New Roman" w:eastAsia="楷体"/>
                <w:kern w:val="4"/>
                <w:sz w:val="21"/>
                <w:szCs w:val="21"/>
              </w:rPr>
            </w:pPr>
            <w:r>
              <w:rPr>
                <w:rFonts w:ascii="Times New Roman" w:hAnsi="Times New Roman"/>
                <w:kern w:val="4"/>
                <w:sz w:val="21"/>
                <w:szCs w:val="21"/>
              </w:rPr>
              <w:t>61.85</w:t>
            </w:r>
          </w:p>
        </w:tc>
        <w:tc>
          <w:tcPr>
            <w:tcW w:w="524" w:type="pct"/>
            <w:noWrap/>
            <w:vAlign w:val="center"/>
          </w:tcPr>
          <w:p>
            <w:pPr>
              <w:ind w:firstLine="0" w:firstLineChars="0"/>
              <w:jc w:val="center"/>
              <w:rPr>
                <w:rFonts w:ascii="Times New Roman" w:hAnsi="Times New Roman" w:eastAsia="楷体"/>
                <w:kern w:val="4"/>
                <w:sz w:val="21"/>
                <w:szCs w:val="21"/>
              </w:rPr>
            </w:pPr>
            <w:r>
              <w:rPr>
                <w:rFonts w:ascii="Times New Roman" w:hAnsi="Times New Roman"/>
                <w:kern w:val="4"/>
                <w:sz w:val="21"/>
                <w:szCs w:val="21"/>
              </w:rPr>
              <w:t>1.59</w:t>
            </w:r>
          </w:p>
        </w:tc>
        <w:tc>
          <w:tcPr>
            <w:tcW w:w="525" w:type="pct"/>
            <w:noWrap/>
            <w:vAlign w:val="center"/>
          </w:tcPr>
          <w:p>
            <w:pPr>
              <w:ind w:firstLine="0" w:firstLineChars="0"/>
              <w:jc w:val="center"/>
              <w:rPr>
                <w:rFonts w:ascii="Times New Roman" w:hAnsi="Times New Roman" w:eastAsia="楷体"/>
                <w:kern w:val="4"/>
                <w:sz w:val="21"/>
                <w:szCs w:val="21"/>
              </w:rPr>
            </w:pPr>
            <w:r>
              <w:rPr>
                <w:rFonts w:ascii="Times New Roman" w:hAnsi="Times New Roman"/>
                <w:kern w:val="4"/>
                <w:sz w:val="21"/>
                <w:szCs w:val="21"/>
              </w:rPr>
              <w:t>100</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29" w:type="pct"/>
            <w:gridSpan w:val="2"/>
            <w:tcBorders>
              <w:bottom w:val="double" w:color="auto" w:sz="4" w:space="0"/>
            </w:tcBorders>
            <w:noWrap/>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增长率（%）</w:t>
            </w:r>
          </w:p>
        </w:tc>
        <w:tc>
          <w:tcPr>
            <w:tcW w:w="524" w:type="pct"/>
            <w:tcBorders>
              <w:bottom w:val="double" w:color="auto" w:sz="4" w:space="0"/>
            </w:tcBorders>
            <w:noWrap/>
            <w:vAlign w:val="center"/>
          </w:tcPr>
          <w:p>
            <w:pPr>
              <w:widowControl/>
              <w:autoSpaceDE/>
              <w:autoSpaceDN/>
              <w:ind w:firstLine="0" w:firstLineChars="0"/>
              <w:jc w:val="center"/>
              <w:rPr>
                <w:rFonts w:ascii="Times New Roman" w:hAnsi="Times New Roman" w:eastAsia="宋体"/>
                <w:kern w:val="4"/>
                <w:sz w:val="21"/>
                <w:szCs w:val="21"/>
              </w:rPr>
            </w:pPr>
            <w:r>
              <w:rPr>
                <w:rFonts w:ascii="Times New Roman" w:hAnsi="Times New Roman"/>
                <w:kern w:val="4"/>
                <w:sz w:val="21"/>
                <w:szCs w:val="21"/>
              </w:rPr>
              <w:t>13.51</w:t>
            </w:r>
          </w:p>
        </w:tc>
        <w:tc>
          <w:tcPr>
            <w:tcW w:w="524" w:type="pct"/>
            <w:tcBorders>
              <w:bottom w:val="double" w:color="auto" w:sz="4" w:space="0"/>
            </w:tcBorders>
            <w:noWrap/>
            <w:vAlign w:val="center"/>
          </w:tcPr>
          <w:p>
            <w:pPr>
              <w:ind w:firstLine="0" w:firstLineChars="0"/>
              <w:jc w:val="center"/>
              <w:rPr>
                <w:rFonts w:ascii="Times New Roman" w:hAnsi="Times New Roman"/>
                <w:kern w:val="4"/>
                <w:sz w:val="21"/>
                <w:szCs w:val="21"/>
              </w:rPr>
            </w:pPr>
            <w:r>
              <w:rPr>
                <w:rFonts w:ascii="Times New Roman" w:hAnsi="Times New Roman"/>
                <w:kern w:val="4"/>
                <w:sz w:val="21"/>
                <w:szCs w:val="21"/>
              </w:rPr>
              <w:t>64.13</w:t>
            </w:r>
          </w:p>
        </w:tc>
        <w:tc>
          <w:tcPr>
            <w:tcW w:w="524" w:type="pct"/>
            <w:tcBorders>
              <w:bottom w:val="double" w:color="auto" w:sz="4" w:space="0"/>
            </w:tcBorders>
            <w:noWrap/>
            <w:vAlign w:val="center"/>
          </w:tcPr>
          <w:p>
            <w:pPr>
              <w:ind w:firstLine="0" w:firstLineChars="0"/>
              <w:jc w:val="center"/>
              <w:rPr>
                <w:rFonts w:ascii="Times New Roman" w:hAnsi="Times New Roman"/>
                <w:kern w:val="4"/>
                <w:sz w:val="21"/>
                <w:szCs w:val="21"/>
              </w:rPr>
            </w:pPr>
            <w:r>
              <w:rPr>
                <w:rFonts w:ascii="Times New Roman" w:hAnsi="Times New Roman"/>
                <w:kern w:val="4"/>
                <w:sz w:val="21"/>
                <w:szCs w:val="21"/>
              </w:rPr>
              <w:t>22.55</w:t>
            </w:r>
          </w:p>
        </w:tc>
        <w:tc>
          <w:tcPr>
            <w:tcW w:w="525" w:type="pct"/>
            <w:tcBorders>
              <w:bottom w:val="double" w:color="auto" w:sz="4" w:space="0"/>
            </w:tcBorders>
            <w:noWrap/>
            <w:vAlign w:val="center"/>
          </w:tcPr>
          <w:p>
            <w:pPr>
              <w:ind w:firstLine="0" w:firstLineChars="0"/>
              <w:jc w:val="center"/>
              <w:rPr>
                <w:rFonts w:ascii="Times New Roman" w:hAnsi="Times New Roman"/>
                <w:kern w:val="4"/>
                <w:sz w:val="21"/>
                <w:szCs w:val="21"/>
              </w:rPr>
            </w:pPr>
            <w:r>
              <w:rPr>
                <w:rFonts w:ascii="Times New Roman" w:hAnsi="Times New Roman"/>
                <w:kern w:val="4"/>
                <w:sz w:val="21"/>
                <w:szCs w:val="21"/>
              </w:rPr>
              <w:t>32.19</w:t>
            </w:r>
          </w:p>
        </w:tc>
        <w:tc>
          <w:tcPr>
            <w:tcW w:w="524" w:type="pct"/>
            <w:tcBorders>
              <w:bottom w:val="double" w:color="auto" w:sz="4" w:space="0"/>
            </w:tcBorders>
            <w:noWrap/>
            <w:vAlign w:val="center"/>
          </w:tcPr>
          <w:p>
            <w:pPr>
              <w:ind w:firstLine="0" w:firstLineChars="0"/>
              <w:jc w:val="center"/>
              <w:rPr>
                <w:rFonts w:ascii="Times New Roman" w:hAnsi="Times New Roman"/>
                <w:kern w:val="4"/>
                <w:sz w:val="21"/>
                <w:szCs w:val="21"/>
              </w:rPr>
            </w:pPr>
            <w:r>
              <w:rPr>
                <w:rFonts w:ascii="Times New Roman" w:hAnsi="Times New Roman"/>
                <w:kern w:val="4"/>
                <w:sz w:val="21"/>
                <w:szCs w:val="21"/>
              </w:rPr>
              <w:t>3.1%</w:t>
            </w:r>
          </w:p>
        </w:tc>
        <w:tc>
          <w:tcPr>
            <w:tcW w:w="524" w:type="pct"/>
            <w:tcBorders>
              <w:bottom w:val="double" w:color="auto" w:sz="4" w:space="0"/>
            </w:tcBorders>
            <w:noWrap/>
            <w:vAlign w:val="center"/>
          </w:tcPr>
          <w:p>
            <w:pPr>
              <w:ind w:firstLine="0" w:firstLineChars="0"/>
              <w:jc w:val="center"/>
              <w:rPr>
                <w:rFonts w:ascii="Times New Roman" w:hAnsi="Times New Roman"/>
                <w:kern w:val="4"/>
                <w:sz w:val="21"/>
                <w:szCs w:val="21"/>
              </w:rPr>
            </w:pPr>
            <w:r>
              <w:rPr>
                <w:rFonts w:ascii="Times New Roman" w:hAnsi="Times New Roman"/>
                <w:kern w:val="4"/>
                <w:sz w:val="21"/>
                <w:szCs w:val="21"/>
              </w:rPr>
              <w:t>-8.70</w:t>
            </w:r>
          </w:p>
        </w:tc>
        <w:tc>
          <w:tcPr>
            <w:tcW w:w="525" w:type="pct"/>
            <w:tcBorders>
              <w:bottom w:val="double" w:color="auto" w:sz="4" w:space="0"/>
            </w:tcBorders>
            <w:noWrap/>
            <w:vAlign w:val="center"/>
          </w:tcPr>
          <w:p>
            <w:pPr>
              <w:ind w:firstLine="0" w:firstLineChars="0"/>
              <w:jc w:val="center"/>
              <w:rPr>
                <w:rFonts w:ascii="Times New Roman" w:hAnsi="Times New Roman"/>
                <w:kern w:val="4"/>
                <w:sz w:val="21"/>
                <w:szCs w:val="21"/>
              </w:rPr>
            </w:pPr>
            <w:r>
              <w:rPr>
                <w:rFonts w:ascii="Times New Roman" w:hAnsi="Times New Roman"/>
                <w:kern w:val="4"/>
                <w:sz w:val="21"/>
                <w:szCs w:val="21"/>
              </w:rPr>
              <w:t>11.39</w:t>
            </w:r>
          </w:p>
        </w:tc>
      </w:tr>
    </w:tbl>
    <w:p>
      <w:pPr>
        <w:ind w:firstLine="180" w:firstLineChars="100"/>
        <w:jc w:val="left"/>
        <w:rPr>
          <w:rFonts w:ascii="Times New Roman" w:hAnsi="Times New Roman" w:eastAsia="楷体"/>
          <w:bCs/>
          <w:kern w:val="4"/>
          <w:sz w:val="18"/>
          <w:szCs w:val="18"/>
        </w:rPr>
      </w:pPr>
      <w:r>
        <w:rPr>
          <w:rFonts w:ascii="Times New Roman" w:hAnsi="Times New Roman" w:eastAsia="楷体"/>
          <w:bCs/>
          <w:kern w:val="4"/>
          <w:sz w:val="18"/>
          <w:szCs w:val="18"/>
        </w:rPr>
        <w:t>注：数据来源于</w:t>
      </w:r>
      <w:r>
        <w:rPr>
          <w:rFonts w:hint="eastAsia" w:ascii="Times New Roman" w:hAnsi="Times New Roman" w:eastAsia="楷体"/>
          <w:bCs/>
          <w:kern w:val="4"/>
          <w:sz w:val="18"/>
          <w:szCs w:val="18"/>
        </w:rPr>
        <w:t>溧水区</w:t>
      </w:r>
      <w:r>
        <w:rPr>
          <w:rFonts w:ascii="Times New Roman" w:hAnsi="Times New Roman" w:eastAsia="楷体"/>
          <w:bCs/>
          <w:kern w:val="4"/>
          <w:sz w:val="18"/>
          <w:szCs w:val="18"/>
        </w:rPr>
        <w:t>交通</w:t>
      </w:r>
      <w:r>
        <w:rPr>
          <w:rFonts w:hint="eastAsia" w:ascii="Times New Roman" w:hAnsi="Times New Roman" w:eastAsia="楷体"/>
          <w:bCs/>
          <w:kern w:val="4"/>
          <w:sz w:val="18"/>
          <w:szCs w:val="18"/>
        </w:rPr>
        <w:t>年鉴</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（2）轨道</w:t>
      </w:r>
    </w:p>
    <w:p>
      <w:pPr>
        <w:spacing w:line="560" w:lineRule="exact"/>
        <w:ind w:firstLine="602"/>
        <w:rPr>
          <w:rFonts w:ascii="Times New Roman" w:hAnsi="Times New Roman" w:eastAsia="仿宋_GB2312"/>
          <w:kern w:val="4"/>
          <w:sz w:val="30"/>
          <w:szCs w:val="30"/>
        </w:rPr>
      </w:pPr>
      <w:r>
        <w:rPr>
          <w:rFonts w:ascii="Times New Roman" w:hAnsi="Times New Roman" w:eastAsia="仿宋_GB2312"/>
          <w:b/>
          <w:kern w:val="4"/>
          <w:sz w:val="30"/>
          <w:szCs w:val="30"/>
        </w:rPr>
        <w:t>宁杭高铁建成通车。</w:t>
      </w:r>
      <w:r>
        <w:rPr>
          <w:rFonts w:ascii="Times New Roman" w:hAnsi="Times New Roman" w:eastAsia="仿宋_GB2312"/>
          <w:kern w:val="4"/>
          <w:sz w:val="30"/>
          <w:szCs w:val="30"/>
        </w:rPr>
        <w:t>“十二五”期间，宁杭高铁正式通车。线路北起南京南站，途经溧水，南</w:t>
      </w:r>
      <w:r>
        <w:rPr>
          <w:rFonts w:hint="eastAsia" w:ascii="Times New Roman" w:hAnsi="Times New Roman" w:eastAsia="仿宋_GB2312"/>
          <w:kern w:val="4"/>
          <w:sz w:val="30"/>
          <w:szCs w:val="30"/>
        </w:rPr>
        <w:t>至</w:t>
      </w:r>
      <w:r>
        <w:rPr>
          <w:rFonts w:ascii="Times New Roman" w:hAnsi="Times New Roman" w:eastAsia="仿宋_GB2312"/>
          <w:kern w:val="4"/>
          <w:sz w:val="30"/>
          <w:szCs w:val="30"/>
        </w:rPr>
        <w:t>杭州东站，按照国家</w:t>
      </w:r>
      <w:r>
        <w:rPr>
          <w:rFonts w:hint="eastAsia" w:ascii="仿宋" w:hAnsi="仿宋"/>
          <w:kern w:val="4"/>
          <w:sz w:val="30"/>
          <w:szCs w:val="30"/>
        </w:rPr>
        <w:t>I</w:t>
      </w:r>
      <w:r>
        <w:rPr>
          <w:rFonts w:ascii="Times New Roman" w:hAnsi="Times New Roman" w:eastAsia="仿宋_GB2312"/>
          <w:kern w:val="4"/>
          <w:sz w:val="30"/>
          <w:szCs w:val="30"/>
        </w:rPr>
        <w:t>级铁路标准建设，最高设计时速350公里</w:t>
      </w:r>
      <w:r>
        <w:rPr>
          <w:rFonts w:hint="eastAsia" w:ascii="Times New Roman" w:hAnsi="Times New Roman" w:eastAsia="仿宋_GB2312"/>
          <w:kern w:val="4"/>
          <w:sz w:val="30"/>
          <w:szCs w:val="30"/>
        </w:rPr>
        <w:t>/小时，</w:t>
      </w:r>
      <w:r>
        <w:rPr>
          <w:rFonts w:ascii="Times New Roman" w:hAnsi="Times New Roman" w:eastAsia="仿宋_GB2312"/>
          <w:kern w:val="4"/>
          <w:sz w:val="30"/>
          <w:szCs w:val="30"/>
        </w:rPr>
        <w:t>溧水境内全长29.04公里，设置溧水高铁站。宁杭高铁的开通，标志着溧水从此告别“手无寸铁”的历史，开启全新的“高铁时代”。</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城际轨道加快建设。</w:t>
      </w:r>
      <w:r>
        <w:rPr>
          <w:rFonts w:hint="eastAsia" w:ascii="Times New Roman" w:hAnsi="Times New Roman" w:eastAsia="仿宋_GB2312"/>
          <w:kern w:val="4"/>
          <w:sz w:val="30"/>
          <w:szCs w:val="30"/>
        </w:rPr>
        <w:t>“十二五”期间，积极配合南京市建设</w:t>
      </w:r>
      <w:r>
        <w:rPr>
          <w:rFonts w:ascii="Times New Roman" w:hAnsi="Times New Roman" w:eastAsia="仿宋_GB2312"/>
          <w:kern w:val="4"/>
          <w:sz w:val="30"/>
          <w:szCs w:val="30"/>
        </w:rPr>
        <w:t>宁溧城际轨道(S7)</w:t>
      </w:r>
      <w:r>
        <w:rPr>
          <w:rFonts w:hint="eastAsia" w:ascii="Times New Roman" w:hAnsi="Times New Roman" w:eastAsia="仿宋_GB2312"/>
          <w:kern w:val="4"/>
          <w:sz w:val="30"/>
          <w:szCs w:val="30"/>
        </w:rPr>
        <w:t>和</w:t>
      </w:r>
      <w:r>
        <w:rPr>
          <w:rFonts w:ascii="Times New Roman" w:hAnsi="Times New Roman" w:eastAsia="仿宋_GB2312"/>
          <w:kern w:val="4"/>
          <w:sz w:val="30"/>
          <w:szCs w:val="30"/>
        </w:rPr>
        <w:t>宁高城际轨道二期工程(S1线)</w:t>
      </w:r>
      <w:r>
        <w:rPr>
          <w:rFonts w:hint="eastAsia" w:ascii="Times New Roman" w:hAnsi="Times New Roman" w:eastAsia="仿宋_GB2312"/>
          <w:kern w:val="4"/>
          <w:sz w:val="30"/>
          <w:szCs w:val="30"/>
        </w:rPr>
        <w:t>。</w:t>
      </w:r>
      <w:r>
        <w:rPr>
          <w:rFonts w:ascii="Times New Roman" w:hAnsi="Times New Roman" w:eastAsia="仿宋_GB2312"/>
          <w:kern w:val="4"/>
          <w:sz w:val="30"/>
          <w:szCs w:val="30"/>
        </w:rPr>
        <w:t>宁溧城际轨道(S7)溧水境内里程约27.8公里，共设8个站点（柘塘、柘塘新区、金山、团山、溧水、中山东路、金龙路、无想山），预计2018年初建成通车，目前溧水正在进行金龙路站、无想山站两个站点的土建施工工作。宁高城际轨道二期工程(S1线)禄口新城南至高淳段，溧水境内里程约17.9公里，共设2个站点（石湫、明觉），预计2017年建成通车。</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（3）内河水运</w:t>
      </w:r>
    </w:p>
    <w:p>
      <w:pPr>
        <w:spacing w:line="560" w:lineRule="exact"/>
        <w:ind w:firstLine="602"/>
        <w:rPr>
          <w:rFonts w:ascii="Times New Roman" w:hAnsi="Times New Roman" w:eastAsia="仿宋_GB2312"/>
          <w:kern w:val="4"/>
          <w:sz w:val="30"/>
          <w:szCs w:val="30"/>
        </w:rPr>
      </w:pPr>
      <w:r>
        <w:rPr>
          <w:rFonts w:ascii="Times New Roman" w:hAnsi="Times New Roman" w:eastAsia="仿宋_GB2312"/>
          <w:b/>
          <w:kern w:val="4"/>
          <w:sz w:val="30"/>
          <w:szCs w:val="30"/>
        </w:rPr>
        <w:t>航道通行能力逐步提高。</w:t>
      </w:r>
      <w:r>
        <w:rPr>
          <w:rFonts w:ascii="Times New Roman" w:hAnsi="Times New Roman" w:eastAsia="仿宋_GB2312"/>
          <w:kern w:val="4"/>
          <w:sz w:val="30"/>
          <w:szCs w:val="30"/>
        </w:rPr>
        <w:t>“十二五”期间，溧水区先后完成秦淮河溧水洪蓝至沙河段航道疏浚工程、秦淮河航道洪昌河疏浚工程、秦淮河戴家岗疏浚工程等，有效地提高了航道通航条件。截至2015年底，辖区</w:t>
      </w:r>
      <w:r>
        <w:rPr>
          <w:rFonts w:hint="eastAsia" w:ascii="Times New Roman" w:hAnsi="Times New Roman" w:eastAsia="仿宋_GB2312"/>
          <w:kern w:val="4"/>
          <w:sz w:val="30"/>
          <w:szCs w:val="30"/>
        </w:rPr>
        <w:t>内</w:t>
      </w:r>
      <w:r>
        <w:rPr>
          <w:rFonts w:ascii="Times New Roman" w:hAnsi="Times New Roman" w:eastAsia="仿宋_GB2312"/>
          <w:kern w:val="4"/>
          <w:sz w:val="30"/>
          <w:szCs w:val="30"/>
        </w:rPr>
        <w:t>航道通航里程</w:t>
      </w:r>
      <w:r>
        <w:rPr>
          <w:rFonts w:hint="eastAsia" w:ascii="Times New Roman" w:hAnsi="Times New Roman" w:eastAsia="仿宋_GB2312"/>
          <w:kern w:val="4"/>
          <w:sz w:val="30"/>
          <w:szCs w:val="30"/>
        </w:rPr>
        <w:t>为</w:t>
      </w:r>
      <w:r>
        <w:rPr>
          <w:rFonts w:ascii="Times New Roman" w:hAnsi="Times New Roman" w:eastAsia="仿宋_GB2312"/>
          <w:kern w:val="4"/>
          <w:sz w:val="30"/>
          <w:szCs w:val="30"/>
        </w:rPr>
        <w:t>91.04公里，其中等级航道</w:t>
      </w:r>
      <w:r>
        <w:rPr>
          <w:rFonts w:hint="eastAsia" w:ascii="Times New Roman" w:hAnsi="Times New Roman" w:eastAsia="仿宋_GB2312"/>
          <w:kern w:val="4"/>
          <w:sz w:val="30"/>
          <w:szCs w:val="30"/>
        </w:rPr>
        <w:t>36.37</w:t>
      </w:r>
      <w:r>
        <w:rPr>
          <w:rFonts w:ascii="Times New Roman" w:hAnsi="Times New Roman" w:eastAsia="仿宋_GB2312"/>
          <w:kern w:val="4"/>
          <w:sz w:val="30"/>
          <w:szCs w:val="30"/>
        </w:rPr>
        <w:t>公里（</w:t>
      </w:r>
      <w:r>
        <w:rPr>
          <w:rFonts w:hint="eastAsia" w:ascii="Times New Roman" w:hAnsi="Times New Roman" w:eastAsia="仿宋_GB2312"/>
          <w:kern w:val="4"/>
          <w:sz w:val="30"/>
          <w:szCs w:val="30"/>
        </w:rPr>
        <w:t>四级航道11.26公里</w:t>
      </w:r>
      <w:r>
        <w:rPr>
          <w:rFonts w:ascii="Times New Roman" w:hAnsi="Times New Roman" w:eastAsia="仿宋_GB2312"/>
          <w:kern w:val="4"/>
          <w:sz w:val="30"/>
          <w:szCs w:val="30"/>
        </w:rPr>
        <w:t>、六级航道12.60公里、七级航道12.51公里），占总里程的39.95%。航标主要分布在秦淮河航道及新桥河航道，共设置航行标识共37座，设标里程45.5公里。</w:t>
      </w:r>
    </w:p>
    <w:p>
      <w:pPr>
        <w:spacing w:line="440" w:lineRule="exact"/>
        <w:ind w:firstLine="480"/>
        <w:jc w:val="center"/>
        <w:rPr>
          <w:rFonts w:ascii="Times New Roman" w:hAnsi="Times New Roman" w:eastAsia="黑体"/>
          <w:bCs/>
          <w:kern w:val="4"/>
          <w:sz w:val="24"/>
        </w:rPr>
      </w:pPr>
      <w:r>
        <w:rPr>
          <w:rFonts w:ascii="Times New Roman" w:hAnsi="Times New Roman" w:eastAsia="黑体"/>
          <w:bCs/>
          <w:kern w:val="4"/>
          <w:sz w:val="24"/>
        </w:rPr>
        <w:t>表1-2  2015年溧水区航道</w:t>
      </w:r>
      <w:r>
        <w:rPr>
          <w:rFonts w:hint="eastAsia" w:ascii="Times New Roman" w:hAnsi="Times New Roman" w:eastAsia="黑体"/>
          <w:bCs/>
          <w:kern w:val="4"/>
          <w:sz w:val="24"/>
        </w:rPr>
        <w:t>等级</w:t>
      </w:r>
      <w:r>
        <w:rPr>
          <w:rFonts w:ascii="Times New Roman" w:hAnsi="Times New Roman" w:eastAsia="黑体"/>
          <w:bCs/>
          <w:kern w:val="4"/>
          <w:sz w:val="24"/>
        </w:rPr>
        <w:t>现状情况</w:t>
      </w:r>
    </w:p>
    <w:tbl>
      <w:tblPr>
        <w:tblStyle w:val="30"/>
        <w:tblW w:w="9072"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512"/>
        <w:gridCol w:w="1512"/>
        <w:gridCol w:w="1512"/>
        <w:gridCol w:w="1512"/>
        <w:gridCol w:w="1513"/>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58" w:type="dxa"/>
            <w:shd w:val="clear" w:color="auto" w:fill="auto"/>
            <w:noWrap/>
            <w:vAlign w:val="center"/>
          </w:tcPr>
          <w:p>
            <w:pPr>
              <w:widowControl/>
              <w:autoSpaceDE/>
              <w:autoSpaceDN/>
              <w:ind w:firstLine="0" w:firstLineChars="0"/>
              <w:jc w:val="center"/>
              <w:rPr>
                <w:rFonts w:ascii="楷体" w:hAnsi="楷体" w:eastAsia="楷体" w:cs="宋体"/>
                <w:b/>
                <w:kern w:val="4"/>
                <w:sz w:val="21"/>
                <w:szCs w:val="21"/>
              </w:rPr>
            </w:pPr>
            <w:r>
              <w:rPr>
                <w:rFonts w:hint="eastAsia" w:ascii="楷体" w:hAnsi="楷体" w:eastAsia="楷体" w:cs="宋体"/>
                <w:b/>
                <w:kern w:val="4"/>
                <w:sz w:val="21"/>
                <w:szCs w:val="21"/>
              </w:rPr>
              <w:t>等级</w:t>
            </w:r>
          </w:p>
        </w:tc>
        <w:tc>
          <w:tcPr>
            <w:tcW w:w="1558" w:type="dxa"/>
            <w:shd w:val="clear" w:color="auto" w:fill="auto"/>
            <w:noWrap/>
            <w:vAlign w:val="center"/>
          </w:tcPr>
          <w:p>
            <w:pPr>
              <w:widowControl/>
              <w:autoSpaceDE/>
              <w:autoSpaceDN/>
              <w:ind w:firstLine="0" w:firstLineChars="0"/>
              <w:jc w:val="center"/>
              <w:rPr>
                <w:rFonts w:ascii="楷体" w:hAnsi="楷体" w:eastAsia="楷体" w:cs="宋体"/>
                <w:b/>
                <w:kern w:val="4"/>
                <w:sz w:val="21"/>
                <w:szCs w:val="21"/>
              </w:rPr>
            </w:pPr>
            <w:r>
              <w:rPr>
                <w:rFonts w:hint="eastAsia" w:ascii="楷体" w:hAnsi="楷体" w:eastAsia="楷体" w:cs="宋体"/>
                <w:b/>
                <w:kern w:val="4"/>
                <w:sz w:val="21"/>
                <w:szCs w:val="21"/>
              </w:rPr>
              <w:t>四级航道</w:t>
            </w:r>
          </w:p>
        </w:tc>
        <w:tc>
          <w:tcPr>
            <w:tcW w:w="1558" w:type="dxa"/>
            <w:shd w:val="clear" w:color="auto" w:fill="auto"/>
            <w:noWrap/>
            <w:vAlign w:val="center"/>
          </w:tcPr>
          <w:p>
            <w:pPr>
              <w:widowControl/>
              <w:autoSpaceDE/>
              <w:autoSpaceDN/>
              <w:ind w:firstLine="0" w:firstLineChars="0"/>
              <w:jc w:val="center"/>
              <w:rPr>
                <w:rFonts w:ascii="楷体" w:hAnsi="楷体" w:eastAsia="楷体" w:cs="宋体"/>
                <w:b/>
                <w:kern w:val="4"/>
                <w:sz w:val="21"/>
                <w:szCs w:val="21"/>
              </w:rPr>
            </w:pPr>
            <w:r>
              <w:rPr>
                <w:rFonts w:hint="eastAsia" w:ascii="楷体" w:hAnsi="楷体" w:eastAsia="楷体" w:cs="宋体"/>
                <w:b/>
                <w:kern w:val="4"/>
                <w:sz w:val="21"/>
                <w:szCs w:val="21"/>
              </w:rPr>
              <w:t>六级航道</w:t>
            </w:r>
          </w:p>
        </w:tc>
        <w:tc>
          <w:tcPr>
            <w:tcW w:w="1558" w:type="dxa"/>
            <w:shd w:val="clear" w:color="auto" w:fill="auto"/>
            <w:noWrap/>
            <w:vAlign w:val="center"/>
          </w:tcPr>
          <w:p>
            <w:pPr>
              <w:widowControl/>
              <w:autoSpaceDE/>
              <w:autoSpaceDN/>
              <w:ind w:firstLine="0" w:firstLineChars="0"/>
              <w:jc w:val="center"/>
              <w:rPr>
                <w:rFonts w:ascii="楷体" w:hAnsi="楷体" w:eastAsia="楷体" w:cs="宋体"/>
                <w:b/>
                <w:kern w:val="4"/>
                <w:sz w:val="21"/>
                <w:szCs w:val="21"/>
              </w:rPr>
            </w:pPr>
            <w:r>
              <w:rPr>
                <w:rFonts w:hint="eastAsia" w:ascii="楷体" w:hAnsi="楷体" w:eastAsia="楷体" w:cs="宋体"/>
                <w:b/>
                <w:kern w:val="4"/>
                <w:sz w:val="21"/>
                <w:szCs w:val="21"/>
              </w:rPr>
              <w:t>七级航道</w:t>
            </w:r>
          </w:p>
        </w:tc>
        <w:tc>
          <w:tcPr>
            <w:tcW w:w="1558" w:type="dxa"/>
            <w:shd w:val="clear" w:color="auto" w:fill="auto"/>
            <w:noWrap/>
            <w:vAlign w:val="center"/>
          </w:tcPr>
          <w:p>
            <w:pPr>
              <w:widowControl/>
              <w:autoSpaceDE/>
              <w:autoSpaceDN/>
              <w:ind w:firstLine="0" w:firstLineChars="0"/>
              <w:jc w:val="center"/>
              <w:rPr>
                <w:rFonts w:ascii="楷体" w:hAnsi="楷体" w:eastAsia="楷体" w:cs="宋体"/>
                <w:b/>
                <w:kern w:val="4"/>
                <w:sz w:val="21"/>
                <w:szCs w:val="21"/>
              </w:rPr>
            </w:pPr>
            <w:r>
              <w:rPr>
                <w:rFonts w:hint="eastAsia" w:ascii="楷体" w:hAnsi="楷体" w:eastAsia="楷体" w:cs="宋体"/>
                <w:b/>
                <w:kern w:val="4"/>
                <w:sz w:val="21"/>
                <w:szCs w:val="21"/>
              </w:rPr>
              <w:t>等外航道</w:t>
            </w:r>
          </w:p>
        </w:tc>
        <w:tc>
          <w:tcPr>
            <w:tcW w:w="1559" w:type="dxa"/>
            <w:shd w:val="clear" w:color="auto" w:fill="auto"/>
            <w:noWrap/>
            <w:vAlign w:val="center"/>
          </w:tcPr>
          <w:p>
            <w:pPr>
              <w:widowControl/>
              <w:autoSpaceDE/>
              <w:autoSpaceDN/>
              <w:ind w:firstLine="0" w:firstLineChars="0"/>
              <w:jc w:val="center"/>
              <w:rPr>
                <w:rFonts w:ascii="楷体" w:hAnsi="楷体" w:eastAsia="楷体" w:cs="宋体"/>
                <w:b/>
                <w:kern w:val="4"/>
                <w:sz w:val="21"/>
                <w:szCs w:val="21"/>
              </w:rPr>
            </w:pPr>
            <w:r>
              <w:rPr>
                <w:rFonts w:hint="eastAsia" w:ascii="楷体" w:hAnsi="楷体" w:eastAsia="楷体" w:cs="宋体"/>
                <w:b/>
                <w:kern w:val="4"/>
                <w:sz w:val="21"/>
                <w:szCs w:val="21"/>
              </w:rPr>
              <w:t>合计</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58" w:type="dxa"/>
            <w:shd w:val="clear" w:color="auto" w:fill="auto"/>
            <w:noWrap/>
            <w:vAlign w:val="center"/>
          </w:tcPr>
          <w:p>
            <w:pPr>
              <w:widowControl/>
              <w:autoSpaceDE/>
              <w:autoSpaceDN/>
              <w:ind w:firstLine="0" w:firstLineChars="0"/>
              <w:jc w:val="center"/>
              <w:rPr>
                <w:rFonts w:ascii="楷体" w:hAnsi="楷体" w:eastAsia="楷体" w:cs="宋体"/>
                <w:kern w:val="4"/>
                <w:sz w:val="21"/>
                <w:szCs w:val="21"/>
              </w:rPr>
            </w:pPr>
            <w:r>
              <w:rPr>
                <w:rFonts w:hint="eastAsia" w:ascii="楷体" w:hAnsi="楷体" w:eastAsia="楷体" w:cs="宋体"/>
                <w:kern w:val="4"/>
                <w:sz w:val="21"/>
                <w:szCs w:val="21"/>
              </w:rPr>
              <w:t>里程（公里）</w:t>
            </w:r>
          </w:p>
        </w:tc>
        <w:tc>
          <w:tcPr>
            <w:tcW w:w="1558" w:type="dxa"/>
            <w:shd w:val="clear" w:color="auto" w:fill="auto"/>
            <w:noWrap/>
            <w:vAlign w:val="center"/>
          </w:tcPr>
          <w:p>
            <w:pPr>
              <w:widowControl/>
              <w:autoSpaceDE/>
              <w:autoSpaceDN/>
              <w:ind w:firstLine="0" w:firstLineChars="0"/>
              <w:jc w:val="center"/>
              <w:rPr>
                <w:rFonts w:ascii="楷体" w:hAnsi="楷体" w:eastAsia="楷体" w:cs="宋体"/>
                <w:kern w:val="4"/>
                <w:sz w:val="21"/>
                <w:szCs w:val="21"/>
              </w:rPr>
            </w:pPr>
            <w:r>
              <w:rPr>
                <w:rFonts w:hint="eastAsia" w:ascii="楷体" w:hAnsi="楷体" w:eastAsia="楷体" w:cs="宋体"/>
                <w:kern w:val="4"/>
                <w:sz w:val="21"/>
                <w:szCs w:val="21"/>
              </w:rPr>
              <w:t>11.26</w:t>
            </w:r>
          </w:p>
        </w:tc>
        <w:tc>
          <w:tcPr>
            <w:tcW w:w="1558" w:type="dxa"/>
            <w:shd w:val="clear" w:color="auto" w:fill="auto"/>
            <w:noWrap/>
            <w:vAlign w:val="center"/>
          </w:tcPr>
          <w:p>
            <w:pPr>
              <w:widowControl/>
              <w:autoSpaceDE/>
              <w:autoSpaceDN/>
              <w:ind w:firstLine="0" w:firstLineChars="0"/>
              <w:jc w:val="center"/>
              <w:rPr>
                <w:rFonts w:ascii="楷体" w:hAnsi="楷体" w:eastAsia="楷体" w:cs="宋体"/>
                <w:kern w:val="4"/>
                <w:sz w:val="21"/>
                <w:szCs w:val="21"/>
              </w:rPr>
            </w:pPr>
            <w:r>
              <w:rPr>
                <w:rFonts w:hint="eastAsia" w:ascii="楷体" w:hAnsi="楷体" w:eastAsia="楷体" w:cs="宋体"/>
                <w:kern w:val="4"/>
                <w:sz w:val="21"/>
                <w:szCs w:val="21"/>
              </w:rPr>
              <w:t>12.6</w:t>
            </w:r>
          </w:p>
        </w:tc>
        <w:tc>
          <w:tcPr>
            <w:tcW w:w="1558" w:type="dxa"/>
            <w:shd w:val="clear" w:color="auto" w:fill="auto"/>
            <w:noWrap/>
            <w:vAlign w:val="center"/>
          </w:tcPr>
          <w:p>
            <w:pPr>
              <w:widowControl/>
              <w:autoSpaceDE/>
              <w:autoSpaceDN/>
              <w:ind w:firstLine="0" w:firstLineChars="0"/>
              <w:jc w:val="center"/>
              <w:rPr>
                <w:rFonts w:ascii="楷体" w:hAnsi="楷体" w:eastAsia="楷体" w:cs="宋体"/>
                <w:kern w:val="4"/>
                <w:sz w:val="21"/>
                <w:szCs w:val="21"/>
              </w:rPr>
            </w:pPr>
            <w:r>
              <w:rPr>
                <w:rFonts w:hint="eastAsia" w:ascii="楷体" w:hAnsi="楷体" w:eastAsia="楷体" w:cs="宋体"/>
                <w:kern w:val="4"/>
                <w:sz w:val="21"/>
                <w:szCs w:val="21"/>
              </w:rPr>
              <w:t>12.51</w:t>
            </w:r>
          </w:p>
        </w:tc>
        <w:tc>
          <w:tcPr>
            <w:tcW w:w="1558" w:type="dxa"/>
            <w:shd w:val="clear" w:color="auto" w:fill="auto"/>
            <w:noWrap/>
            <w:vAlign w:val="center"/>
          </w:tcPr>
          <w:p>
            <w:pPr>
              <w:widowControl/>
              <w:autoSpaceDE/>
              <w:autoSpaceDN/>
              <w:ind w:firstLine="0" w:firstLineChars="0"/>
              <w:jc w:val="center"/>
              <w:rPr>
                <w:rFonts w:ascii="楷体" w:hAnsi="楷体" w:eastAsia="楷体" w:cs="宋体"/>
                <w:kern w:val="4"/>
                <w:sz w:val="21"/>
                <w:szCs w:val="21"/>
              </w:rPr>
            </w:pPr>
            <w:r>
              <w:rPr>
                <w:rFonts w:hint="eastAsia" w:ascii="楷体" w:hAnsi="楷体" w:eastAsia="楷体" w:cs="宋体"/>
                <w:kern w:val="4"/>
                <w:sz w:val="21"/>
                <w:szCs w:val="21"/>
              </w:rPr>
              <w:t>54.67</w:t>
            </w:r>
          </w:p>
        </w:tc>
        <w:tc>
          <w:tcPr>
            <w:tcW w:w="1559" w:type="dxa"/>
            <w:shd w:val="clear" w:color="auto" w:fill="auto"/>
            <w:noWrap/>
            <w:vAlign w:val="center"/>
          </w:tcPr>
          <w:p>
            <w:pPr>
              <w:widowControl/>
              <w:autoSpaceDE/>
              <w:autoSpaceDN/>
              <w:ind w:firstLine="0" w:firstLineChars="0"/>
              <w:jc w:val="center"/>
              <w:rPr>
                <w:rFonts w:ascii="楷体" w:hAnsi="楷体" w:eastAsia="楷体" w:cs="宋体"/>
                <w:kern w:val="4"/>
                <w:sz w:val="21"/>
                <w:szCs w:val="21"/>
              </w:rPr>
            </w:pPr>
            <w:r>
              <w:rPr>
                <w:rFonts w:hint="eastAsia" w:ascii="楷体" w:hAnsi="楷体" w:eastAsia="楷体" w:cs="宋体"/>
                <w:kern w:val="4"/>
                <w:sz w:val="21"/>
                <w:szCs w:val="21"/>
              </w:rPr>
              <w:t>91.04</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58" w:type="dxa"/>
            <w:shd w:val="clear" w:color="auto" w:fill="auto"/>
            <w:noWrap/>
            <w:vAlign w:val="center"/>
          </w:tcPr>
          <w:p>
            <w:pPr>
              <w:widowControl/>
              <w:autoSpaceDE/>
              <w:autoSpaceDN/>
              <w:ind w:firstLine="0" w:firstLineChars="0"/>
              <w:jc w:val="center"/>
              <w:rPr>
                <w:rFonts w:ascii="楷体" w:hAnsi="楷体" w:eastAsia="楷体" w:cs="宋体"/>
                <w:kern w:val="4"/>
                <w:sz w:val="21"/>
                <w:szCs w:val="21"/>
              </w:rPr>
            </w:pPr>
            <w:r>
              <w:rPr>
                <w:rFonts w:hint="eastAsia" w:ascii="楷体" w:hAnsi="楷体" w:eastAsia="楷体" w:cs="宋体"/>
                <w:kern w:val="4"/>
                <w:sz w:val="21"/>
                <w:szCs w:val="21"/>
              </w:rPr>
              <w:t>占比（%）</w:t>
            </w:r>
          </w:p>
        </w:tc>
        <w:tc>
          <w:tcPr>
            <w:tcW w:w="1558" w:type="dxa"/>
            <w:shd w:val="clear" w:color="auto" w:fill="auto"/>
            <w:noWrap/>
            <w:vAlign w:val="center"/>
          </w:tcPr>
          <w:p>
            <w:pPr>
              <w:widowControl/>
              <w:autoSpaceDE/>
              <w:autoSpaceDN/>
              <w:ind w:firstLine="0" w:firstLineChars="0"/>
              <w:jc w:val="center"/>
              <w:rPr>
                <w:rFonts w:ascii="楷体" w:hAnsi="楷体" w:eastAsia="楷体" w:cs="宋体"/>
                <w:kern w:val="4"/>
                <w:sz w:val="21"/>
                <w:szCs w:val="21"/>
              </w:rPr>
            </w:pPr>
            <w:r>
              <w:rPr>
                <w:rFonts w:hint="eastAsia" w:ascii="楷体" w:hAnsi="楷体" w:eastAsia="楷体" w:cs="宋体"/>
                <w:kern w:val="4"/>
                <w:sz w:val="21"/>
                <w:szCs w:val="21"/>
              </w:rPr>
              <w:t>12.37</w:t>
            </w:r>
          </w:p>
        </w:tc>
        <w:tc>
          <w:tcPr>
            <w:tcW w:w="1558" w:type="dxa"/>
            <w:shd w:val="clear" w:color="auto" w:fill="auto"/>
            <w:noWrap/>
            <w:vAlign w:val="center"/>
          </w:tcPr>
          <w:p>
            <w:pPr>
              <w:widowControl/>
              <w:autoSpaceDE/>
              <w:autoSpaceDN/>
              <w:ind w:firstLine="0" w:firstLineChars="0"/>
              <w:jc w:val="center"/>
              <w:rPr>
                <w:rFonts w:ascii="楷体" w:hAnsi="楷体" w:eastAsia="楷体" w:cs="宋体"/>
                <w:kern w:val="4"/>
                <w:sz w:val="21"/>
                <w:szCs w:val="21"/>
              </w:rPr>
            </w:pPr>
            <w:r>
              <w:rPr>
                <w:rFonts w:hint="eastAsia" w:ascii="楷体" w:hAnsi="楷体" w:eastAsia="楷体" w:cs="宋体"/>
                <w:kern w:val="4"/>
                <w:sz w:val="21"/>
                <w:szCs w:val="21"/>
              </w:rPr>
              <w:t>13.84</w:t>
            </w:r>
          </w:p>
        </w:tc>
        <w:tc>
          <w:tcPr>
            <w:tcW w:w="1558" w:type="dxa"/>
            <w:shd w:val="clear" w:color="auto" w:fill="auto"/>
            <w:noWrap/>
            <w:vAlign w:val="center"/>
          </w:tcPr>
          <w:p>
            <w:pPr>
              <w:widowControl/>
              <w:autoSpaceDE/>
              <w:autoSpaceDN/>
              <w:ind w:firstLine="0" w:firstLineChars="0"/>
              <w:jc w:val="center"/>
              <w:rPr>
                <w:rFonts w:ascii="楷体" w:hAnsi="楷体" w:eastAsia="楷体" w:cs="宋体"/>
                <w:kern w:val="4"/>
                <w:sz w:val="21"/>
                <w:szCs w:val="21"/>
              </w:rPr>
            </w:pPr>
            <w:r>
              <w:rPr>
                <w:rFonts w:hint="eastAsia" w:ascii="楷体" w:hAnsi="楷体" w:eastAsia="楷体" w:cs="宋体"/>
                <w:kern w:val="4"/>
                <w:sz w:val="21"/>
                <w:szCs w:val="21"/>
              </w:rPr>
              <w:t>13.74</w:t>
            </w:r>
          </w:p>
        </w:tc>
        <w:tc>
          <w:tcPr>
            <w:tcW w:w="1558" w:type="dxa"/>
            <w:shd w:val="clear" w:color="auto" w:fill="auto"/>
            <w:noWrap/>
            <w:vAlign w:val="center"/>
          </w:tcPr>
          <w:p>
            <w:pPr>
              <w:widowControl/>
              <w:autoSpaceDE/>
              <w:autoSpaceDN/>
              <w:ind w:firstLine="0" w:firstLineChars="0"/>
              <w:jc w:val="center"/>
              <w:rPr>
                <w:rFonts w:ascii="楷体" w:hAnsi="楷体" w:eastAsia="楷体" w:cs="宋体"/>
                <w:kern w:val="4"/>
                <w:sz w:val="21"/>
                <w:szCs w:val="21"/>
              </w:rPr>
            </w:pPr>
            <w:r>
              <w:rPr>
                <w:rFonts w:hint="eastAsia" w:ascii="楷体" w:hAnsi="楷体" w:eastAsia="楷体" w:cs="宋体"/>
                <w:kern w:val="4"/>
                <w:sz w:val="21"/>
                <w:szCs w:val="21"/>
              </w:rPr>
              <w:t>60.05</w:t>
            </w:r>
          </w:p>
        </w:tc>
        <w:tc>
          <w:tcPr>
            <w:tcW w:w="1559" w:type="dxa"/>
            <w:shd w:val="clear" w:color="auto" w:fill="auto"/>
            <w:noWrap/>
            <w:vAlign w:val="center"/>
          </w:tcPr>
          <w:p>
            <w:pPr>
              <w:widowControl/>
              <w:autoSpaceDE/>
              <w:autoSpaceDN/>
              <w:ind w:firstLine="0" w:firstLineChars="0"/>
              <w:jc w:val="center"/>
              <w:rPr>
                <w:rFonts w:ascii="楷体" w:hAnsi="楷体" w:eastAsia="楷体" w:cs="宋体"/>
                <w:kern w:val="4"/>
                <w:sz w:val="21"/>
                <w:szCs w:val="21"/>
              </w:rPr>
            </w:pPr>
            <w:r>
              <w:rPr>
                <w:rFonts w:hint="eastAsia" w:ascii="楷体" w:hAnsi="楷体" w:eastAsia="楷体" w:cs="宋体"/>
                <w:kern w:val="4"/>
                <w:sz w:val="21"/>
                <w:szCs w:val="21"/>
              </w:rPr>
              <w:t>100.00</w:t>
            </w:r>
          </w:p>
        </w:tc>
      </w:tr>
    </w:tbl>
    <w:p>
      <w:pPr>
        <w:ind w:firstLine="360"/>
        <w:rPr>
          <w:rFonts w:ascii="Times New Roman" w:hAnsi="Times New Roman" w:eastAsia="楷体"/>
          <w:kern w:val="4"/>
          <w:sz w:val="24"/>
          <w:highlight w:val="yellow"/>
        </w:rPr>
      </w:pPr>
      <w:r>
        <w:rPr>
          <w:rFonts w:ascii="Times New Roman" w:hAnsi="Times New Roman" w:eastAsia="楷体"/>
          <w:snapToGrid w:val="0"/>
          <w:kern w:val="4"/>
          <w:sz w:val="18"/>
          <w:szCs w:val="20"/>
        </w:rPr>
        <w:t>注：数据来源于溧水区航道站</w:t>
      </w:r>
    </w:p>
    <w:p>
      <w:pPr>
        <w:spacing w:line="560" w:lineRule="exact"/>
        <w:ind w:firstLine="602"/>
        <w:rPr>
          <w:rFonts w:ascii="Times New Roman" w:hAnsi="Times New Roman" w:eastAsia="仿宋_GB2312"/>
          <w:kern w:val="4"/>
          <w:sz w:val="30"/>
          <w:szCs w:val="30"/>
        </w:rPr>
      </w:pPr>
      <w:r>
        <w:rPr>
          <w:rFonts w:ascii="Times New Roman" w:hAnsi="Times New Roman" w:eastAsia="仿宋_GB2312"/>
          <w:b/>
          <w:kern w:val="4"/>
          <w:sz w:val="30"/>
          <w:szCs w:val="30"/>
        </w:rPr>
        <w:t>船舶标准化工作有序推进。</w:t>
      </w:r>
      <w:r>
        <w:rPr>
          <w:rFonts w:ascii="Times New Roman" w:hAnsi="Times New Roman" w:eastAsia="仿宋_GB2312"/>
          <w:kern w:val="4"/>
          <w:sz w:val="30"/>
          <w:szCs w:val="30"/>
        </w:rPr>
        <w:t>“十二五”期间，按照交通运输部、财政部和省交通运输厅、财政厅相关文件要求，溧水区交通部门积极部署，全面推进船舶标准化工作，累计完成老旧船舶溧水机1068等6搜船舶拆解工作，有力促进了内河运力结构调整和船舶技术进步。</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（4）客运场站</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“十二五”期间，溧水区建成宁杭城际铁路客运站1座，溧水汽车客运站一级站1座，庙头、晶桥、云鹤、洪蓝等农村客运站4座，客运场站体系和布局进一步优化，服务城乡居民</w:t>
      </w:r>
      <w:r>
        <w:rPr>
          <w:rFonts w:hint="eastAsia" w:ascii="Times New Roman" w:hAnsi="Times New Roman" w:eastAsia="仿宋_GB2312"/>
          <w:kern w:val="4"/>
          <w:sz w:val="30"/>
          <w:szCs w:val="30"/>
        </w:rPr>
        <w:t>交通</w:t>
      </w:r>
      <w:r>
        <w:rPr>
          <w:rFonts w:ascii="Times New Roman" w:hAnsi="Times New Roman" w:eastAsia="仿宋_GB2312"/>
          <w:kern w:val="4"/>
          <w:sz w:val="30"/>
          <w:szCs w:val="30"/>
        </w:rPr>
        <w:t>出行能力大幅提升。</w:t>
      </w:r>
    </w:p>
    <w:p>
      <w:pPr>
        <w:spacing w:line="440" w:lineRule="exact"/>
        <w:ind w:firstLine="0" w:firstLineChars="0"/>
        <w:jc w:val="center"/>
        <w:rPr>
          <w:rFonts w:ascii="Times New Roman" w:hAnsi="Times New Roman" w:eastAsia="黑体"/>
          <w:bCs/>
          <w:kern w:val="4"/>
          <w:sz w:val="24"/>
        </w:rPr>
      </w:pPr>
      <w:r>
        <w:rPr>
          <w:rFonts w:ascii="Times New Roman" w:hAnsi="Times New Roman" w:eastAsia="黑体"/>
          <w:bCs/>
          <w:kern w:val="4"/>
          <w:sz w:val="24"/>
        </w:rPr>
        <w:t>表1-3  溧水区客运站现状一览表</w:t>
      </w:r>
    </w:p>
    <w:tbl>
      <w:tblPr>
        <w:tblStyle w:val="30"/>
        <w:tblW w:w="9072"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4"/>
        <w:gridCol w:w="2693"/>
        <w:gridCol w:w="1418"/>
        <w:gridCol w:w="1559"/>
        <w:gridCol w:w="1558"/>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blHeader/>
          <w:jc w:val="center"/>
        </w:trPr>
        <w:tc>
          <w:tcPr>
            <w:tcW w:w="1844" w:type="dxa"/>
            <w:tcBorders>
              <w:top w:val="double" w:color="auto" w:sz="4" w:space="0"/>
            </w:tcBorders>
            <w:vAlign w:val="center"/>
          </w:tcPr>
          <w:p>
            <w:pPr>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客运站名称</w:t>
            </w:r>
          </w:p>
        </w:tc>
        <w:tc>
          <w:tcPr>
            <w:tcW w:w="2693" w:type="dxa"/>
            <w:tcBorders>
              <w:top w:val="double" w:color="auto" w:sz="4" w:space="0"/>
            </w:tcBorders>
            <w:vAlign w:val="center"/>
          </w:tcPr>
          <w:p>
            <w:pPr>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客运站位置</w:t>
            </w:r>
          </w:p>
        </w:tc>
        <w:tc>
          <w:tcPr>
            <w:tcW w:w="1418" w:type="dxa"/>
            <w:tcBorders>
              <w:top w:val="double" w:color="auto" w:sz="4" w:space="0"/>
            </w:tcBorders>
            <w:vAlign w:val="center"/>
          </w:tcPr>
          <w:p>
            <w:pPr>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客运站等级</w:t>
            </w:r>
          </w:p>
        </w:tc>
        <w:tc>
          <w:tcPr>
            <w:tcW w:w="1559" w:type="dxa"/>
            <w:tcBorders>
              <w:top w:val="double" w:color="auto" w:sz="4" w:space="0"/>
            </w:tcBorders>
            <w:vAlign w:val="center"/>
          </w:tcPr>
          <w:p>
            <w:pPr>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占地面积</w:t>
            </w:r>
          </w:p>
          <w:p>
            <w:pPr>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（平方米）</w:t>
            </w:r>
          </w:p>
        </w:tc>
        <w:tc>
          <w:tcPr>
            <w:tcW w:w="1558" w:type="dxa"/>
            <w:tcBorders>
              <w:top w:val="double" w:color="auto" w:sz="4" w:space="0"/>
            </w:tcBorders>
            <w:vAlign w:val="center"/>
          </w:tcPr>
          <w:p>
            <w:pPr>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设计发送量</w:t>
            </w:r>
          </w:p>
          <w:p>
            <w:pPr>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(人/日)</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844"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宁杭高铁溧水站</w:t>
            </w:r>
          </w:p>
        </w:tc>
        <w:tc>
          <w:tcPr>
            <w:tcW w:w="269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溧水区东屏镇徐溪村</w:t>
            </w:r>
          </w:p>
        </w:tc>
        <w:tc>
          <w:tcPr>
            <w:tcW w:w="1418"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中级</w:t>
            </w:r>
          </w:p>
        </w:tc>
        <w:tc>
          <w:tcPr>
            <w:tcW w:w="1559"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200000</w:t>
            </w:r>
          </w:p>
        </w:tc>
        <w:tc>
          <w:tcPr>
            <w:tcW w:w="1558"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1000</w:t>
            </w:r>
          </w:p>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（高峰小时）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844"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溧水汽车客运站</w:t>
            </w:r>
          </w:p>
        </w:tc>
        <w:tc>
          <w:tcPr>
            <w:tcW w:w="269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秦淮路与常溧公路交接处</w:t>
            </w:r>
          </w:p>
        </w:tc>
        <w:tc>
          <w:tcPr>
            <w:tcW w:w="1418"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一级</w:t>
            </w:r>
          </w:p>
        </w:tc>
        <w:tc>
          <w:tcPr>
            <w:tcW w:w="1559"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47000</w:t>
            </w:r>
          </w:p>
        </w:tc>
        <w:tc>
          <w:tcPr>
            <w:tcW w:w="1558"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15000</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844"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庙头客运站</w:t>
            </w:r>
          </w:p>
        </w:tc>
        <w:tc>
          <w:tcPr>
            <w:tcW w:w="2693" w:type="dxa"/>
            <w:vAlign w:val="center"/>
          </w:tcPr>
          <w:p>
            <w:pPr>
              <w:ind w:firstLine="0" w:firstLineChars="0"/>
              <w:jc w:val="center"/>
              <w:rPr>
                <w:rFonts w:ascii="Times New Roman" w:hAnsi="Times New Roman" w:eastAsia="楷体"/>
                <w:spacing w:val="-6"/>
                <w:kern w:val="4"/>
                <w:sz w:val="21"/>
                <w:szCs w:val="21"/>
              </w:rPr>
            </w:pPr>
            <w:r>
              <w:rPr>
                <w:rFonts w:ascii="Times New Roman" w:hAnsi="Times New Roman" w:eastAsia="楷体"/>
                <w:spacing w:val="-6"/>
                <w:kern w:val="4"/>
                <w:sz w:val="21"/>
                <w:szCs w:val="21"/>
              </w:rPr>
              <w:t>溧水经济技术开发区岔路口</w:t>
            </w:r>
          </w:p>
        </w:tc>
        <w:tc>
          <w:tcPr>
            <w:tcW w:w="1418"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四级</w:t>
            </w:r>
          </w:p>
        </w:tc>
        <w:tc>
          <w:tcPr>
            <w:tcW w:w="1559"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8000</w:t>
            </w:r>
          </w:p>
        </w:tc>
        <w:tc>
          <w:tcPr>
            <w:tcW w:w="1558"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2000</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844"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晶桥客运站</w:t>
            </w:r>
          </w:p>
        </w:tc>
        <w:tc>
          <w:tcPr>
            <w:tcW w:w="269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晶桥镇集镇</w:t>
            </w:r>
          </w:p>
        </w:tc>
        <w:tc>
          <w:tcPr>
            <w:tcW w:w="1418"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四级</w:t>
            </w:r>
          </w:p>
        </w:tc>
        <w:tc>
          <w:tcPr>
            <w:tcW w:w="1559"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1600</w:t>
            </w:r>
          </w:p>
        </w:tc>
        <w:tc>
          <w:tcPr>
            <w:tcW w:w="1558"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2000</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369" w:hRule="atLeast"/>
          <w:jc w:val="center"/>
        </w:trPr>
        <w:tc>
          <w:tcPr>
            <w:tcW w:w="1844"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云鹤客运站</w:t>
            </w:r>
          </w:p>
        </w:tc>
        <w:tc>
          <w:tcPr>
            <w:tcW w:w="269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晶桥镇云鹤村</w:t>
            </w:r>
          </w:p>
        </w:tc>
        <w:tc>
          <w:tcPr>
            <w:tcW w:w="1418"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四级</w:t>
            </w:r>
          </w:p>
        </w:tc>
        <w:tc>
          <w:tcPr>
            <w:tcW w:w="1559"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1100</w:t>
            </w:r>
          </w:p>
        </w:tc>
        <w:tc>
          <w:tcPr>
            <w:tcW w:w="1558"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2000</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844" w:type="dxa"/>
            <w:tcBorders>
              <w:bottom w:val="double" w:color="auto" w:sz="4" w:space="0"/>
            </w:tcBorders>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洪蓝客运站</w:t>
            </w:r>
          </w:p>
        </w:tc>
        <w:tc>
          <w:tcPr>
            <w:tcW w:w="2693" w:type="dxa"/>
            <w:tcBorders>
              <w:bottom w:val="double" w:color="auto" w:sz="4" w:space="0"/>
            </w:tcBorders>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洪蓝镇</w:t>
            </w:r>
          </w:p>
        </w:tc>
        <w:tc>
          <w:tcPr>
            <w:tcW w:w="1418" w:type="dxa"/>
            <w:tcBorders>
              <w:bottom w:val="double" w:color="auto" w:sz="4" w:space="0"/>
            </w:tcBorders>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四级</w:t>
            </w:r>
          </w:p>
        </w:tc>
        <w:tc>
          <w:tcPr>
            <w:tcW w:w="1559" w:type="dxa"/>
            <w:tcBorders>
              <w:bottom w:val="double" w:color="auto" w:sz="4" w:space="0"/>
            </w:tcBorders>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1400</w:t>
            </w:r>
          </w:p>
        </w:tc>
        <w:tc>
          <w:tcPr>
            <w:tcW w:w="1558" w:type="dxa"/>
            <w:tcBorders>
              <w:bottom w:val="double" w:color="auto" w:sz="4" w:space="0"/>
            </w:tcBorders>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2000</w:t>
            </w:r>
          </w:p>
        </w:tc>
      </w:tr>
    </w:tbl>
    <w:p>
      <w:pPr>
        <w:ind w:firstLine="180" w:firstLineChars="100"/>
        <w:rPr>
          <w:rFonts w:ascii="Times New Roman" w:hAnsi="Times New Roman" w:eastAsia="楷体"/>
          <w:snapToGrid w:val="0"/>
          <w:kern w:val="4"/>
          <w:sz w:val="18"/>
          <w:szCs w:val="20"/>
        </w:rPr>
      </w:pPr>
      <w:r>
        <w:rPr>
          <w:rFonts w:ascii="Times New Roman" w:hAnsi="Times New Roman" w:eastAsia="楷体"/>
          <w:snapToGrid w:val="0"/>
          <w:kern w:val="4"/>
          <w:sz w:val="18"/>
          <w:szCs w:val="20"/>
        </w:rPr>
        <w:t>注：数据来源于溧水区运管所</w:t>
      </w:r>
    </w:p>
    <w:p>
      <w:pPr>
        <w:spacing w:line="560" w:lineRule="exact"/>
        <w:ind w:firstLine="602"/>
        <w:outlineLvl w:val="3"/>
        <w:rPr>
          <w:rFonts w:ascii="Times New Roman" w:hAnsi="Times New Roman" w:eastAsia="仿宋_GB2312"/>
          <w:b/>
          <w:kern w:val="4"/>
          <w:sz w:val="30"/>
          <w:szCs w:val="30"/>
        </w:rPr>
      </w:pPr>
      <w:r>
        <w:rPr>
          <w:rFonts w:ascii="Times New Roman" w:hAnsi="Times New Roman" w:eastAsia="仿宋_GB2312"/>
          <w:b/>
          <w:kern w:val="4"/>
          <w:sz w:val="30"/>
          <w:szCs w:val="30"/>
        </w:rPr>
        <w:t>2、运输服务水平大幅提高</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（1）客货运输稳步增长</w:t>
      </w:r>
    </w:p>
    <w:p>
      <w:pPr>
        <w:snapToGrid w:val="0"/>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“十二五”期间，溧水客货运输保持较快增长势头。2015年全区完成客运量2800万人次，较“十一五”末增长16.0%；完成货运量2200万吨，较“十一五”末增长23.2%；港口货运吞吐量276.5万吨，较“十一五”末增长60%。</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（2）客运体系持续优化</w:t>
      </w:r>
    </w:p>
    <w:p>
      <w:pPr>
        <w:snapToGrid w:val="0"/>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“十二五”期间，溧水客运市场健康有序发展，城乡客运一体化建设工作取得重大突破。</w:t>
      </w:r>
    </w:p>
    <w:p>
      <w:pPr>
        <w:snapToGrid w:val="0"/>
        <w:spacing w:line="560" w:lineRule="exact"/>
        <w:ind w:firstLine="602"/>
        <w:rPr>
          <w:rFonts w:ascii="Times New Roman" w:hAnsi="Times New Roman" w:eastAsia="仿宋_GB2312"/>
          <w:kern w:val="4"/>
          <w:sz w:val="30"/>
          <w:szCs w:val="30"/>
        </w:rPr>
      </w:pPr>
      <w:r>
        <w:rPr>
          <w:rFonts w:ascii="Times New Roman" w:hAnsi="Times New Roman" w:eastAsia="仿宋_GB2312"/>
          <w:b/>
          <w:kern w:val="4"/>
          <w:sz w:val="30"/>
          <w:szCs w:val="30"/>
        </w:rPr>
        <w:t>城际</w:t>
      </w:r>
      <w:r>
        <w:rPr>
          <w:rFonts w:hint="eastAsia" w:ascii="Times New Roman" w:hAnsi="Times New Roman" w:eastAsia="仿宋_GB2312"/>
          <w:b/>
          <w:kern w:val="4"/>
          <w:sz w:val="30"/>
          <w:szCs w:val="30"/>
        </w:rPr>
        <w:t>长途</w:t>
      </w:r>
      <w:r>
        <w:rPr>
          <w:rFonts w:ascii="Times New Roman" w:hAnsi="Times New Roman" w:eastAsia="仿宋_GB2312"/>
          <w:b/>
          <w:kern w:val="4"/>
          <w:sz w:val="30"/>
          <w:szCs w:val="30"/>
        </w:rPr>
        <w:t>客运更加便捷。</w:t>
      </w:r>
      <w:r>
        <w:rPr>
          <w:rFonts w:ascii="Times New Roman" w:hAnsi="Times New Roman" w:eastAsia="仿宋_GB2312"/>
          <w:kern w:val="4"/>
          <w:sz w:val="30"/>
          <w:szCs w:val="30"/>
        </w:rPr>
        <w:t>“十二五”期间，城际客运网络进一步完善。截至2015年底，溧水区共开通16条省际客运班线、20条市际客运班线，5条区（县）际客运班线，对外客运联系更加便捷。城际客运运力结构进一步优化，由单一型的普通客车向高中普、卧、大中小多元型转变，客运班车和旅游客车的中高级车辆比例进一步提高，城乡居民中长距离出行舒适性大幅提升。</w:t>
      </w:r>
    </w:p>
    <w:p>
      <w:pPr>
        <w:snapToGrid w:val="0"/>
        <w:spacing w:line="560" w:lineRule="exact"/>
        <w:ind w:firstLine="602"/>
        <w:rPr>
          <w:rFonts w:ascii="Times New Roman" w:hAnsi="Times New Roman" w:eastAsia="仿宋_GB2312"/>
          <w:kern w:val="4"/>
          <w:sz w:val="30"/>
          <w:szCs w:val="30"/>
        </w:rPr>
      </w:pPr>
      <w:r>
        <w:rPr>
          <w:rFonts w:ascii="Times New Roman" w:hAnsi="Times New Roman" w:eastAsia="仿宋_GB2312"/>
          <w:b/>
          <w:kern w:val="4"/>
          <w:sz w:val="30"/>
          <w:szCs w:val="30"/>
        </w:rPr>
        <w:t>城市公交</w:t>
      </w:r>
      <w:r>
        <w:rPr>
          <w:rFonts w:hint="eastAsia" w:ascii="Times New Roman" w:hAnsi="Times New Roman" w:eastAsia="仿宋_GB2312"/>
          <w:b/>
          <w:kern w:val="4"/>
          <w:sz w:val="30"/>
          <w:szCs w:val="30"/>
        </w:rPr>
        <w:t>体系</w:t>
      </w:r>
      <w:r>
        <w:rPr>
          <w:rFonts w:ascii="Times New Roman" w:hAnsi="Times New Roman" w:eastAsia="仿宋_GB2312"/>
          <w:b/>
          <w:kern w:val="4"/>
          <w:sz w:val="30"/>
          <w:szCs w:val="30"/>
        </w:rPr>
        <w:t>更加完善。</w:t>
      </w:r>
      <w:r>
        <w:rPr>
          <w:rFonts w:ascii="Times New Roman" w:hAnsi="Times New Roman" w:eastAsia="仿宋_GB2312"/>
          <w:kern w:val="4"/>
          <w:sz w:val="30"/>
          <w:szCs w:val="30"/>
        </w:rPr>
        <w:t>“十二五”期间，公交线网规模和覆盖率进一步扩大</w:t>
      </w:r>
      <w:r>
        <w:rPr>
          <w:rFonts w:hint="eastAsia" w:ascii="Times New Roman" w:hAnsi="Times New Roman" w:eastAsia="仿宋_GB2312"/>
          <w:kern w:val="4"/>
          <w:sz w:val="30"/>
          <w:szCs w:val="30"/>
        </w:rPr>
        <w:t>。</w:t>
      </w:r>
      <w:r>
        <w:rPr>
          <w:rFonts w:ascii="Times New Roman" w:hAnsi="Times New Roman" w:eastAsia="仿宋_GB2312"/>
          <w:kern w:val="4"/>
          <w:sz w:val="30"/>
          <w:szCs w:val="30"/>
        </w:rPr>
        <w:t>公交形式更加多元化，开通了滨淮大道定制公交、傅家边农业科技园旅游专线、1路（含102）双班班线，新增105、106路晚间微循环公交，恢复县际溧水至高淳直达班线，新增201城际快速公交，12路、13路、17路客运班线转化为公交线路，基本覆盖城区主要行政机关、学校、企事业单位及工业园区。截至2015年</w:t>
      </w:r>
      <w:r>
        <w:rPr>
          <w:rFonts w:hint="eastAsia" w:ascii="Times New Roman" w:hAnsi="Times New Roman" w:eastAsia="仿宋_GB2312"/>
          <w:kern w:val="4"/>
          <w:sz w:val="30"/>
          <w:szCs w:val="30"/>
        </w:rPr>
        <w:t>底</w:t>
      </w:r>
      <w:r>
        <w:rPr>
          <w:rFonts w:ascii="Times New Roman" w:hAnsi="Times New Roman" w:eastAsia="仿宋_GB2312"/>
          <w:kern w:val="4"/>
          <w:sz w:val="30"/>
          <w:szCs w:val="30"/>
        </w:rPr>
        <w:t>，城区公交线网总里程达到273公里，城市核心区（东至琴音大道、南至辛庄路、西至宁高高速、北至常合高速）公交线网密度达到1.44公里/平方公里。公交场站设施</w:t>
      </w:r>
      <w:r>
        <w:rPr>
          <w:rFonts w:hint="eastAsia" w:ascii="Times New Roman" w:hAnsi="Times New Roman" w:eastAsia="仿宋_GB2312"/>
          <w:kern w:val="4"/>
          <w:sz w:val="30"/>
          <w:szCs w:val="30"/>
        </w:rPr>
        <w:t>加快建设</w:t>
      </w:r>
      <w:r>
        <w:rPr>
          <w:rFonts w:ascii="Times New Roman" w:hAnsi="Times New Roman" w:eastAsia="仿宋_GB2312"/>
          <w:kern w:val="4"/>
          <w:sz w:val="30"/>
          <w:szCs w:val="30"/>
        </w:rPr>
        <w:t>。城区现有公交停车场1处，位于交通客运公司，占地6000平方米；独立用地的公交首末站5处，分别位于省溧中西门、实小城南校区、溧水客运站、宁杭高铁站、洪蓝站，占地约1公顷</w:t>
      </w:r>
      <w:r>
        <w:rPr>
          <w:rFonts w:hint="eastAsia" w:ascii="Times New Roman" w:hAnsi="Times New Roman" w:eastAsia="仿宋_GB2312"/>
          <w:kern w:val="4"/>
          <w:sz w:val="30"/>
          <w:szCs w:val="30"/>
        </w:rPr>
        <w:t>，</w:t>
      </w:r>
      <w:r>
        <w:rPr>
          <w:rFonts w:ascii="Times New Roman" w:hAnsi="Times New Roman" w:eastAsia="仿宋_GB2312"/>
          <w:kern w:val="4"/>
          <w:sz w:val="30"/>
          <w:szCs w:val="30"/>
        </w:rPr>
        <w:t>车均场站面达到65平方米/标台。截至2015年底，全区共开通21条城市公交线路，城市公交客运量940万人，比2010年增长34.3%，公交全方式出行分担率达到5%，公交出行已成为市民出行的重要方式。出租车服务能力进一步提高，全区3家出租车公司共有149辆出租车，2015年客运量374万人，比2010年增长24.6%。公共自行车项目赢得广泛好评。2014年8月公共自行车系统投入使用。一期新建18个站点，购置400辆自行车；二期新增站点50个，自行车1275辆，有效解决了城市居民出行最后一公里难题。</w:t>
      </w:r>
    </w:p>
    <w:p>
      <w:pPr>
        <w:snapToGrid w:val="0"/>
        <w:ind w:firstLine="600"/>
        <w:rPr>
          <w:rFonts w:ascii="Times New Roman" w:hAnsi="Times New Roman" w:eastAsia="仿宋_GB2312"/>
          <w:kern w:val="4"/>
          <w:sz w:val="30"/>
          <w:szCs w:val="30"/>
        </w:rPr>
      </w:pPr>
    </w:p>
    <w:p>
      <w:pPr>
        <w:snapToGrid w:val="0"/>
        <w:ind w:firstLine="0" w:firstLineChars="0"/>
        <w:jc w:val="center"/>
        <w:rPr>
          <w:rFonts w:ascii="Times New Roman" w:hAnsi="Times New Roman"/>
          <w:kern w:val="4"/>
        </w:rPr>
      </w:pPr>
      <w:r>
        <w:rPr>
          <w:rFonts w:ascii="Times New Roman" w:hAnsi="Times New Roman"/>
          <w:kern w:val="4"/>
        </w:rPr>
        <w:drawing>
          <wp:inline distT="0" distB="0" distL="0" distR="0">
            <wp:extent cx="4131945" cy="4871720"/>
            <wp:effectExtent l="0" t="0" r="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noChangeArrowheads="1"/>
                    </pic:cNvPicPr>
                  </pic:nvPicPr>
                  <pic:blipFill>
                    <a:blip r:embed="rId25">
                      <a:extLst>
                        <a:ext uri="{28A0092B-C50C-407E-A947-70E740481C1C}">
                          <a14:useLocalDpi xmlns:a14="http://schemas.microsoft.com/office/drawing/2010/main" val="0"/>
                        </a:ext>
                      </a:extLst>
                    </a:blip>
                    <a:srcRect l="2621" t="2440" r="2994" b="2341"/>
                    <a:stretch>
                      <a:fillRect/>
                    </a:stretch>
                  </pic:blipFill>
                  <pic:spPr>
                    <a:xfrm>
                      <a:off x="0" y="0"/>
                      <a:ext cx="4166861" cy="4912786"/>
                    </a:xfrm>
                    <a:prstGeom prst="rect">
                      <a:avLst/>
                    </a:prstGeom>
                    <a:noFill/>
                    <a:ln>
                      <a:noFill/>
                    </a:ln>
                  </pic:spPr>
                </pic:pic>
              </a:graphicData>
            </a:graphic>
          </wp:inline>
        </w:drawing>
      </w:r>
    </w:p>
    <w:p>
      <w:pPr>
        <w:snapToGrid w:val="0"/>
        <w:ind w:firstLine="0" w:firstLineChars="0"/>
        <w:jc w:val="center"/>
        <w:rPr>
          <w:rFonts w:ascii="黑体" w:hAnsi="黑体" w:eastAsia="黑体"/>
          <w:bCs/>
          <w:kern w:val="4"/>
          <w:sz w:val="24"/>
        </w:rPr>
      </w:pPr>
      <w:r>
        <w:rPr>
          <w:rFonts w:ascii="黑体" w:hAnsi="黑体" w:eastAsia="黑体"/>
          <w:bCs/>
          <w:kern w:val="4"/>
          <w:sz w:val="24"/>
        </w:rPr>
        <w:t>图1-1  溧水区自行车租赁点现状图</w:t>
      </w:r>
    </w:p>
    <w:p>
      <w:pPr>
        <w:snapToGrid w:val="0"/>
        <w:spacing w:line="560" w:lineRule="exact"/>
        <w:ind w:firstLine="602"/>
        <w:rPr>
          <w:rFonts w:ascii="Times New Roman" w:hAnsi="Times New Roman" w:eastAsia="仿宋_GB2312"/>
          <w:kern w:val="4"/>
          <w:sz w:val="30"/>
          <w:szCs w:val="30"/>
        </w:rPr>
      </w:pPr>
      <w:r>
        <w:rPr>
          <w:rFonts w:ascii="Times New Roman" w:hAnsi="Times New Roman" w:eastAsia="仿宋_GB2312"/>
          <w:b/>
          <w:kern w:val="4"/>
          <w:sz w:val="30"/>
          <w:szCs w:val="30"/>
        </w:rPr>
        <w:t>城乡公交</w:t>
      </w:r>
      <w:r>
        <w:rPr>
          <w:rFonts w:hint="eastAsia" w:ascii="Times New Roman" w:hAnsi="Times New Roman" w:eastAsia="仿宋_GB2312"/>
          <w:b/>
          <w:kern w:val="4"/>
          <w:sz w:val="30"/>
          <w:szCs w:val="30"/>
        </w:rPr>
        <w:t>服务更加惠民</w:t>
      </w:r>
      <w:r>
        <w:rPr>
          <w:rFonts w:ascii="Times New Roman" w:hAnsi="Times New Roman" w:eastAsia="仿宋_GB2312"/>
          <w:b/>
          <w:kern w:val="4"/>
          <w:sz w:val="30"/>
          <w:szCs w:val="30"/>
        </w:rPr>
        <w:t>。</w:t>
      </w:r>
      <w:r>
        <w:rPr>
          <w:rFonts w:ascii="Times New Roman" w:hAnsi="Times New Roman" w:eastAsia="仿宋_GB2312"/>
          <w:kern w:val="4"/>
          <w:sz w:val="30"/>
          <w:szCs w:val="30"/>
        </w:rPr>
        <w:t>“十二五”期间，城乡交通一体化工程、农村客运班车通达工程、镇村公交等全面协调发展。累计开通7条城镇班线和50条镇村班线，实现了镇与镇之间、镇与村之间、村与村之间农村客运网络全面覆盖，镇村公交行政村覆盖率100%。并且对溧水规划主城区范围内客运线路（溧水至柘塘、群力城镇班线、溧水至永阳东庐）公路票价进行了票制调整，调整后参照城区公交2元标准执行。对其它城镇客运班线（溧水至和凤、晶桥、云鹤、白马、东屏、石湫、明觉等线路）逐步下调票价，下调至票额的25%。</w:t>
      </w:r>
    </w:p>
    <w:p>
      <w:pPr>
        <w:snapToGrid w:val="0"/>
        <w:spacing w:line="560" w:lineRule="exact"/>
        <w:ind w:firstLine="602"/>
        <w:rPr>
          <w:rFonts w:ascii="Times New Roman" w:hAnsi="Times New Roman" w:eastAsia="仿宋_GB2312"/>
          <w:kern w:val="4"/>
          <w:sz w:val="30"/>
          <w:szCs w:val="30"/>
        </w:rPr>
      </w:pPr>
      <w:r>
        <w:rPr>
          <w:rFonts w:ascii="Times New Roman" w:hAnsi="Times New Roman" w:eastAsia="仿宋_GB2312"/>
          <w:b/>
          <w:kern w:val="4"/>
          <w:sz w:val="30"/>
          <w:szCs w:val="30"/>
        </w:rPr>
        <w:t>绿色运载工具加快使用。</w:t>
      </w:r>
      <w:r>
        <w:rPr>
          <w:rFonts w:ascii="Times New Roman" w:hAnsi="Times New Roman" w:eastAsia="仿宋_GB2312"/>
          <w:kern w:val="4"/>
          <w:sz w:val="30"/>
          <w:szCs w:val="30"/>
        </w:rPr>
        <w:t>“十二五”期间，累计投放LNG天然气动力公交88辆、纯电动公交车38辆、燃油公交车201辆，分别占车辆总数的26.9%、11.6%、61.5%，淘汰城区和镇村公交国</w:t>
      </w:r>
      <w:r>
        <w:rPr>
          <w:rFonts w:hint="eastAsia" w:eastAsia="宋体" w:cs="宋体"/>
          <w:kern w:val="4"/>
          <w:sz w:val="30"/>
          <w:szCs w:val="30"/>
        </w:rPr>
        <w:t>Ⅲ</w:t>
      </w:r>
      <w:r>
        <w:rPr>
          <w:rFonts w:ascii="Times New Roman" w:hAnsi="Times New Roman" w:eastAsia="仿宋_GB2312"/>
          <w:kern w:val="4"/>
          <w:sz w:val="30"/>
          <w:szCs w:val="30"/>
        </w:rPr>
        <w:t>排放以下客运车辆91辆，淘汰率100%。截至2015年底，溧水区营运车辆327辆，其中城市公交车160辆，城镇客运91辆车，镇村公交86辆车。</w:t>
      </w:r>
    </w:p>
    <w:p>
      <w:pPr>
        <w:snapToGrid w:val="0"/>
        <w:spacing w:line="560" w:lineRule="exact"/>
        <w:ind w:firstLine="602"/>
        <w:rPr>
          <w:rFonts w:ascii="Times New Roman" w:hAnsi="Times New Roman" w:eastAsia="仿宋_GB2312"/>
          <w:kern w:val="4"/>
          <w:sz w:val="30"/>
          <w:szCs w:val="30"/>
        </w:rPr>
      </w:pPr>
      <w:r>
        <w:rPr>
          <w:rFonts w:ascii="Times New Roman" w:hAnsi="Times New Roman" w:eastAsia="仿宋_GB2312"/>
          <w:b/>
          <w:kern w:val="4"/>
          <w:sz w:val="30"/>
          <w:szCs w:val="30"/>
        </w:rPr>
        <w:t>公交体制改革顺利完成。</w:t>
      </w:r>
      <w:r>
        <w:rPr>
          <w:rFonts w:ascii="Times New Roman" w:hAnsi="Times New Roman" w:eastAsia="仿宋_GB2312"/>
          <w:kern w:val="4"/>
          <w:sz w:val="30"/>
          <w:szCs w:val="30"/>
        </w:rPr>
        <w:t>2013年9月，南京溧水交通公共客运有限公司被区政府收购为国有企业，经营范围为城区公交客运、城镇班线客运、镇村公交客运、区内包车客运、公共自行车服务等，是区内唯一经营道路客运企业，真正实现旅客运输一体化运营。</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（3）物流发展趋势向好</w:t>
      </w:r>
    </w:p>
    <w:p>
      <w:pPr>
        <w:snapToGrid w:val="0"/>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“十二五”期间，溧水全区货运行业发展速度加快，基本具备发展现代物流业的基础条件。截至2015年底，溧水区有货运业户2800多户，车辆3800多辆，吨位1.9万吨，主要运输品类</w:t>
      </w:r>
      <w:r>
        <w:rPr>
          <w:rFonts w:hint="eastAsia" w:ascii="Times New Roman" w:hAnsi="Times New Roman" w:eastAsia="仿宋_GB2312"/>
          <w:kern w:val="4"/>
          <w:sz w:val="30"/>
          <w:szCs w:val="30"/>
        </w:rPr>
        <w:t>有</w:t>
      </w:r>
      <w:r>
        <w:rPr>
          <w:rFonts w:ascii="Times New Roman" w:hAnsi="Times New Roman" w:eastAsia="仿宋_GB2312"/>
          <w:kern w:val="4"/>
          <w:sz w:val="30"/>
          <w:szCs w:val="30"/>
        </w:rPr>
        <w:t>大宗物资如建材、工业产品、原材料、粮食、食品、化工、石油等。其中10辆车以上的货运业户有20家；有省交通运输厅农村物流示范点2家；有危运企业6家，车辆78辆，从业人员100多人。</w:t>
      </w:r>
    </w:p>
    <w:p>
      <w:pPr>
        <w:spacing w:line="560" w:lineRule="exact"/>
        <w:ind w:firstLine="602"/>
        <w:outlineLvl w:val="3"/>
        <w:rPr>
          <w:rFonts w:ascii="Times New Roman" w:hAnsi="Times New Roman" w:eastAsia="仿宋_GB2312"/>
          <w:b/>
          <w:kern w:val="4"/>
          <w:sz w:val="30"/>
          <w:szCs w:val="30"/>
        </w:rPr>
      </w:pPr>
      <w:r>
        <w:rPr>
          <w:rFonts w:ascii="Times New Roman" w:hAnsi="Times New Roman" w:eastAsia="仿宋_GB2312"/>
          <w:b/>
          <w:kern w:val="4"/>
          <w:sz w:val="30"/>
          <w:szCs w:val="30"/>
        </w:rPr>
        <w:t>3、行业管理能力显著提升</w:t>
      </w:r>
    </w:p>
    <w:p>
      <w:pPr>
        <w:spacing w:line="60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十二五”期间，溧水区交通运输行业管理以保障群众“安全、便捷”出行为重点，进一步加大设施管养力度、净化客运市场环境、完善安全生产制度，规范执法行为、加强党风建设，努力以“优质、高效”的行业管理体系惠及于民。</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（1）养护管理力度明显加大</w:t>
      </w:r>
    </w:p>
    <w:p>
      <w:pPr>
        <w:spacing w:line="600" w:lineRule="exact"/>
        <w:ind w:firstLine="602"/>
        <w:rPr>
          <w:rFonts w:ascii="Times New Roman" w:hAnsi="Times New Roman" w:eastAsia="仿宋_GB2312"/>
          <w:kern w:val="4"/>
          <w:sz w:val="30"/>
          <w:szCs w:val="30"/>
        </w:rPr>
      </w:pPr>
      <w:r>
        <w:rPr>
          <w:rFonts w:ascii="Times New Roman" w:hAnsi="Times New Roman" w:eastAsia="仿宋_GB2312"/>
          <w:b/>
          <w:kern w:val="4"/>
          <w:sz w:val="30"/>
          <w:szCs w:val="30"/>
        </w:rPr>
        <w:t>公路养护管理方面。</w:t>
      </w:r>
      <w:r>
        <w:rPr>
          <w:rFonts w:ascii="Times New Roman" w:hAnsi="Times New Roman" w:eastAsia="仿宋_GB2312"/>
          <w:kern w:val="4"/>
          <w:sz w:val="30"/>
          <w:szCs w:val="30"/>
        </w:rPr>
        <w:t>“十二五”期间，溧水积极推行现代化、市场化、精细化养护理念，S340、S341评为省级文明样板路、S243评为科技示范路、S246评为原生态景观路、溧白公路评为绿色低碳干线公路，境内干线公路MQI值长期保持在93以上。大力开展五项整治活动</w:t>
      </w:r>
      <w:r>
        <w:rPr>
          <w:rFonts w:hint="eastAsia" w:ascii="Times New Roman" w:hAnsi="Times New Roman" w:eastAsia="仿宋_GB2312"/>
          <w:kern w:val="4"/>
          <w:sz w:val="30"/>
          <w:szCs w:val="30"/>
        </w:rPr>
        <w:t>，</w:t>
      </w:r>
      <w:r>
        <w:rPr>
          <w:rFonts w:ascii="Times New Roman" w:hAnsi="Times New Roman" w:eastAsia="仿宋_GB2312"/>
          <w:kern w:val="4"/>
          <w:sz w:val="30"/>
          <w:szCs w:val="30"/>
        </w:rPr>
        <w:t>平均每年整理边沟2次/70公里，绿化修枝3次/300公里，路肩打草15次/1500公里，疏通管涵3次/840道。完成路面大中修工程96.54公里，建设完成白马省级二类工区。切实执行路政管理“四早”、“四结合”工作原则，采取巡查、执法、宣传、公路安全隐患整改“四位一体”措施，不断强化路政管理。加强农村公路管理养护队伍建设，消除道路安全隐患，完善安保和绿化设施，为城乡公交一体化建设创造良好的道路条件。</w:t>
      </w:r>
      <w:r>
        <w:rPr>
          <w:rFonts w:ascii="Times New Roman" w:hAnsi="Times New Roman" w:eastAsia="仿宋_GB2312"/>
          <w:b/>
          <w:kern w:val="4"/>
          <w:sz w:val="30"/>
          <w:szCs w:val="30"/>
        </w:rPr>
        <w:t>航道养护管理方面</w:t>
      </w:r>
      <w:r>
        <w:rPr>
          <w:rFonts w:ascii="Times New Roman" w:hAnsi="Times New Roman" w:eastAsia="仿宋_GB2312"/>
          <w:kern w:val="4"/>
          <w:sz w:val="30"/>
          <w:szCs w:val="30"/>
        </w:rPr>
        <w:t>。溧水航道站积极开展航道巡航、巡查</w:t>
      </w:r>
      <w:r>
        <w:rPr>
          <w:rFonts w:hint="eastAsia" w:ascii="Times New Roman" w:hAnsi="Times New Roman" w:eastAsia="仿宋_GB2312"/>
          <w:kern w:val="4"/>
          <w:sz w:val="30"/>
          <w:szCs w:val="30"/>
        </w:rPr>
        <w:t>和航道疏浚工程，</w:t>
      </w:r>
      <w:r>
        <w:rPr>
          <w:rFonts w:ascii="Times New Roman" w:hAnsi="Times New Roman" w:eastAsia="仿宋_GB2312"/>
          <w:kern w:val="4"/>
          <w:sz w:val="30"/>
          <w:szCs w:val="30"/>
        </w:rPr>
        <w:t>航标正位率达99%，确保了航道的安全畅通。</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（2）信息技术应用加快推进</w:t>
      </w:r>
    </w:p>
    <w:p>
      <w:pPr>
        <w:spacing w:line="60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“十二五”期间，按照南京市公路处信息科技化建设统一部署和安排，溧水公路管养科技化建设工程得到有力推进</w:t>
      </w:r>
      <w:r>
        <w:rPr>
          <w:rFonts w:hint="eastAsia" w:ascii="Times New Roman" w:hAnsi="Times New Roman" w:eastAsia="仿宋_GB2312"/>
          <w:kern w:val="4"/>
          <w:sz w:val="30"/>
          <w:szCs w:val="30"/>
        </w:rPr>
        <w:t>，</w:t>
      </w:r>
      <w:r>
        <w:rPr>
          <w:rFonts w:ascii="Times New Roman" w:hAnsi="Times New Roman" w:eastAsia="仿宋_GB2312"/>
          <w:kern w:val="4"/>
          <w:sz w:val="30"/>
          <w:szCs w:val="30"/>
        </w:rPr>
        <w:t>启用江苏公路协同工作平台系统实现办公自动化；启用路政管理专线内网系统，实现路政案件处理，路政许可报批等工作程序网络化；建成溧水超限检测站全省联网视频监控系统、车牌识别系统、数据采集系统，不停车自动检测系统，实现科技化手段治超；新增两台多动能视频巡查车，装备了执法记录仪、车载电台、桥梁检测系统等装备。</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（3）安全应急能力显著增强</w:t>
      </w:r>
    </w:p>
    <w:p>
      <w:pPr>
        <w:spacing w:line="60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十二五”期间，以创建“平安溧水”、推进“平安交通”建设为主线，深入组织开展公路安保、水上交通安全、道路运输安全、交通工程建设安全等生产专项整治活动。同时，为迎亚青开展“百日安全整治”、迎“青奥”开展安全生产200天专项整治活动。定期检查安全生产。对春运、黄金周、汛期以及亚青会期间等特殊时期开展不定期专项检查。积极开展水上农庄的安全隐患整治、农村公路提档升级、危桥改造、接送学生道路隐患整治等安全生产活动，如：县道溧石线上的小文桥改造、县道芝沙线的汤村桥改造、增设沙塘庵十字路口信号灯、和凤镇陈郭村一桥、东屏镇新河桥、洪蓝镇中心沟桥以及宁杭高铁跨省道张溧线等重大安全隐患都在规定时间全部整改完成并予以销号摘牌。</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（4）行政执法水平明显提高</w:t>
      </w:r>
    </w:p>
    <w:p>
      <w:pPr>
        <w:spacing w:line="60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“十二五”期间，全面落实依法行政责任制</w:t>
      </w:r>
      <w:r>
        <w:rPr>
          <w:rFonts w:hint="eastAsia" w:ascii="Times New Roman" w:hAnsi="Times New Roman" w:eastAsia="仿宋_GB2312"/>
          <w:kern w:val="4"/>
          <w:sz w:val="30"/>
          <w:szCs w:val="30"/>
        </w:rPr>
        <w:t>，</w:t>
      </w:r>
      <w:r>
        <w:rPr>
          <w:rFonts w:ascii="Times New Roman" w:hAnsi="Times New Roman" w:eastAsia="仿宋_GB2312"/>
          <w:kern w:val="4"/>
          <w:sz w:val="30"/>
          <w:szCs w:val="30"/>
        </w:rPr>
        <w:t>将依法行政工作列入“一体化”目标进行考核，督促各单位对照责任书进行量化分解、层层落实，各项依法行政工作稳步开展。切实加强执法动态检查，局属执法单位不定期前往客运站、运政大厅、高铁站等地进行现场执法检查；严格执行重大行政处罚案件和行政执法检查报备制度。加大执法人员学习和培训力度，不断提高交通行政执法水平。溧水区执法人员100%通过南京市交通运输行政执法人员考试。全面开展打击“黑车”和规范出租车经营行为的整治行动，严格按照《城区非法客运专项整治活动实施方案》，综合协调运政稽查大队、运输管理所以及各乡镇交管所执法力量，重拳打击“黑车”，效果良好。</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（5）党风廉政建设全面推进</w:t>
      </w:r>
    </w:p>
    <w:p>
      <w:pPr>
        <w:spacing w:afterLines="50" w:line="560" w:lineRule="exact"/>
        <w:ind w:firstLine="420"/>
        <w:rPr>
          <w:rFonts w:ascii="Times New Roman" w:hAnsi="Times New Roman" w:eastAsia="仿宋_GB2312"/>
          <w:kern w:val="4"/>
          <w:sz w:val="30"/>
          <w:szCs w:val="30"/>
        </w:rPr>
      </w:pPr>
      <w:r>
        <w:rPr>
          <w:rFonts w:ascii="楷体" w:hAnsi="楷体" w:eastAsia="楷体"/>
          <w:kern w:val="4"/>
          <w:sz w:val="21"/>
          <w:szCs w:val="21"/>
        </w:rPr>
        <mc:AlternateContent>
          <mc:Choice Requires="wps">
            <w:drawing>
              <wp:anchor distT="0" distB="0" distL="114300" distR="114300" simplePos="0" relativeHeight="251652096" behindDoc="1" locked="0" layoutInCell="1" allowOverlap="1">
                <wp:simplePos x="0" y="0"/>
                <wp:positionH relativeFrom="column">
                  <wp:posOffset>-45720</wp:posOffset>
                </wp:positionH>
                <wp:positionV relativeFrom="paragraph">
                  <wp:posOffset>4269105</wp:posOffset>
                </wp:positionV>
                <wp:extent cx="6021070" cy="2934335"/>
                <wp:effectExtent l="4445" t="4445" r="13335" b="13970"/>
                <wp:wrapNone/>
                <wp:docPr id="11" name="文本框 4"/>
                <wp:cNvGraphicFramePr/>
                <a:graphic xmlns:a="http://schemas.openxmlformats.org/drawingml/2006/main">
                  <a:graphicData uri="http://schemas.microsoft.com/office/word/2010/wordprocessingShape">
                    <wps:wsp>
                      <wps:cNvSpPr txBox="1"/>
                      <wps:spPr>
                        <a:xfrm>
                          <a:off x="0" y="0"/>
                          <a:ext cx="6021070" cy="2934335"/>
                        </a:xfrm>
                        <a:prstGeom prst="rect">
                          <a:avLst/>
                        </a:prstGeom>
                        <a:solidFill>
                          <a:srgbClr val="D8D8D8">
                            <a:alpha val="70000"/>
                          </a:srgbClr>
                        </a:solidFill>
                        <a:ln w="9525" cap="flat" cmpd="sng">
                          <a:solidFill>
                            <a:srgbClr val="000000"/>
                          </a:solidFill>
                          <a:prstDash val="solid"/>
                          <a:miter/>
                          <a:headEnd type="none" w="med" len="med"/>
                          <a:tailEnd type="none" w="med" len="med"/>
                        </a:ln>
                      </wps:spPr>
                      <wps:txbx>
                        <w:txbxContent>
                          <w:p>
                            <w:pPr>
                              <w:ind w:firstLine="560"/>
                            </w:pPr>
                          </w:p>
                        </w:txbxContent>
                      </wps:txbx>
                      <wps:bodyPr upright="1"/>
                    </wps:wsp>
                  </a:graphicData>
                </a:graphic>
              </wp:anchor>
            </w:drawing>
          </mc:Choice>
          <mc:Fallback>
            <w:pict>
              <v:shape id="文本框 4" o:spid="_x0000_s1026" o:spt="202" type="#_x0000_t202" style="position:absolute;left:0pt;margin-left:-3.6pt;margin-top:336.15pt;height:231.05pt;width:474.1pt;z-index:-251664384;mso-width-relative:page;mso-height-relative:page;" fillcolor="#D8D8D8" filled="t" stroked="t" coordsize="21600,21600" o:gfxdata="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FNJ&#10;ME3cAAAACwEAAA8AAAAAAAAAAQAgAAAAIgAAAGRycy9kb3ducmV2LnhtbFBLAQIUABQAAAAIAIdO&#10;4kATzNeKHwIAAFkEAAAOAAAAAAAAAAEAIAAAACsBAABkcnMvZTJvRG9jLnhtbFBLBQYAAAAABgAG&#10;AFkBAAC8BQAAAAA=&#10;">
                <v:fill on="t" opacity="45875f" focussize="0,0"/>
                <v:stroke color="#000000" joinstyle="miter"/>
                <v:imagedata o:title=""/>
                <o:lock v:ext="edit" aspectratio="f"/>
                <v:textbox>
                  <w:txbxContent>
                    <w:p>
                      <w:pPr>
                        <w:ind w:firstLine="560"/>
                      </w:pPr>
                    </w:p>
                  </w:txbxContent>
                </v:textbox>
              </v:shape>
            </w:pict>
          </mc:Fallback>
        </mc:AlternateContent>
      </w:r>
      <w:r>
        <w:rPr>
          <w:rFonts w:ascii="Times New Roman" w:hAnsi="Times New Roman" w:eastAsia="仿宋_GB2312"/>
          <w:kern w:val="4"/>
          <w:sz w:val="30"/>
          <w:szCs w:val="30"/>
        </w:rPr>
        <w:t>“十二五”期间，大力推进党的思想、组织、作风、制度、廉政建设和精神文明建设，为促进交通又好又快发展，构建和谐交通提供了有力的政治保障和精神动力。</w:t>
      </w:r>
      <w:r>
        <w:rPr>
          <w:rFonts w:ascii="Times New Roman" w:hAnsi="Times New Roman" w:eastAsia="仿宋_GB2312"/>
          <w:b/>
          <w:kern w:val="4"/>
          <w:sz w:val="30"/>
          <w:szCs w:val="30"/>
        </w:rPr>
        <w:t>一是</w:t>
      </w:r>
      <w:r>
        <w:rPr>
          <w:rFonts w:ascii="Times New Roman" w:hAnsi="Times New Roman" w:eastAsia="仿宋_GB2312"/>
          <w:kern w:val="4"/>
          <w:sz w:val="30"/>
          <w:szCs w:val="30"/>
        </w:rPr>
        <w:t>深入开展创先争优活动。积极发挥基层党组织的战斗堡垒和党员的先锋模范作用，从群众反映强烈的热点、难点问题入手，及时解决群众通过“12345”政风热线和“96196”专线反映的问题，切实履行交通“三个服务”职能。</w:t>
      </w:r>
      <w:r>
        <w:rPr>
          <w:rFonts w:ascii="Times New Roman" w:hAnsi="Times New Roman" w:eastAsia="仿宋_GB2312"/>
          <w:b/>
          <w:kern w:val="4"/>
          <w:sz w:val="30"/>
          <w:szCs w:val="30"/>
        </w:rPr>
        <w:t>二是</w:t>
      </w:r>
      <w:r>
        <w:rPr>
          <w:rFonts w:ascii="Times New Roman" w:hAnsi="Times New Roman" w:eastAsia="仿宋_GB2312"/>
          <w:kern w:val="4"/>
          <w:sz w:val="30"/>
          <w:szCs w:val="30"/>
        </w:rPr>
        <w:t>认真宣贯廉政做好清廉表率。认真贯彻落实《廉政准则》、中央八项规定、省市“十项规定”，定期开展群众路线教育实践活动。</w:t>
      </w:r>
      <w:r>
        <w:rPr>
          <w:rFonts w:ascii="Times New Roman" w:hAnsi="Times New Roman" w:eastAsia="仿宋_GB2312"/>
          <w:b/>
          <w:kern w:val="4"/>
          <w:sz w:val="30"/>
          <w:szCs w:val="30"/>
        </w:rPr>
        <w:t>三是</w:t>
      </w:r>
      <w:r>
        <w:rPr>
          <w:rFonts w:ascii="Times New Roman" w:hAnsi="Times New Roman" w:eastAsia="仿宋_GB2312"/>
          <w:kern w:val="4"/>
          <w:sz w:val="30"/>
          <w:szCs w:val="30"/>
        </w:rPr>
        <w:t>建好廉政建设“防火墙”。全面落实“一岗双责”，领导干部带头廉洁自律，确保工程优质、干部优秀，无论是工程建设还是行政执法，从领导干部到执法人员，没有发生一起违规、违纪事件。</w:t>
      </w:r>
      <w:r>
        <w:rPr>
          <w:rFonts w:hint="eastAsia" w:ascii="Times New Roman" w:hAnsi="Times New Roman" w:eastAsia="仿宋_GB2312"/>
          <w:b/>
          <w:kern w:val="4"/>
          <w:sz w:val="30"/>
          <w:szCs w:val="30"/>
        </w:rPr>
        <w:t>四</w:t>
      </w:r>
      <w:r>
        <w:rPr>
          <w:rFonts w:ascii="Times New Roman" w:hAnsi="Times New Roman" w:eastAsia="仿宋_GB2312"/>
          <w:b/>
          <w:kern w:val="4"/>
          <w:sz w:val="30"/>
          <w:szCs w:val="30"/>
        </w:rPr>
        <w:t>是</w:t>
      </w:r>
      <w:r>
        <w:rPr>
          <w:rFonts w:ascii="Times New Roman" w:hAnsi="Times New Roman" w:eastAsia="仿宋_GB2312"/>
          <w:kern w:val="4"/>
          <w:sz w:val="30"/>
          <w:szCs w:val="30"/>
        </w:rPr>
        <w:t>严格干部提拔任用。按照“公开、公平、公正、透明”的原则选拔干部。</w:t>
      </w:r>
    </w:p>
    <w:p>
      <w:pPr>
        <w:spacing w:beforeLines="50" w:line="360" w:lineRule="auto"/>
        <w:ind w:firstLine="0" w:firstLineChars="0"/>
        <w:jc w:val="center"/>
        <w:rPr>
          <w:rFonts w:ascii="楷体" w:hAnsi="楷体" w:eastAsia="楷体"/>
          <w:kern w:val="4"/>
          <w:sz w:val="24"/>
        </w:rPr>
      </w:pPr>
      <w:r>
        <w:rPr>
          <w:rFonts w:hint="eastAsia" w:ascii="楷体" w:hAnsi="楷体" w:eastAsia="楷体"/>
          <w:kern w:val="4"/>
          <w:sz w:val="24"/>
        </w:rPr>
        <w:t>【</w:t>
      </w:r>
      <w:r>
        <w:rPr>
          <w:rFonts w:hint="eastAsia" w:ascii="楷体" w:hAnsi="楷体" w:eastAsia="楷体"/>
          <w:b/>
          <w:kern w:val="4"/>
          <w:sz w:val="24"/>
        </w:rPr>
        <w:t>专栏：溧水区“十二五”交通运输完成情况评估</w:t>
      </w:r>
      <w:r>
        <w:rPr>
          <w:rFonts w:hint="eastAsia" w:ascii="楷体" w:hAnsi="楷体" w:eastAsia="楷体"/>
          <w:kern w:val="4"/>
          <w:sz w:val="24"/>
        </w:rPr>
        <w:t>】</w:t>
      </w:r>
    </w:p>
    <w:p>
      <w:pPr>
        <w:spacing w:line="360" w:lineRule="auto"/>
        <w:ind w:firstLine="420"/>
        <w:rPr>
          <w:rFonts w:ascii="Times New Roman" w:hAnsi="Times New Roman" w:eastAsia="黑体"/>
          <w:bCs/>
          <w:kern w:val="4"/>
          <w:sz w:val="24"/>
        </w:rPr>
      </w:pPr>
      <w:r>
        <w:rPr>
          <w:rFonts w:hint="eastAsia" w:ascii="楷体" w:hAnsi="楷体" w:eastAsia="楷体"/>
          <w:kern w:val="4"/>
          <w:sz w:val="21"/>
          <w:szCs w:val="21"/>
        </w:rPr>
        <w:t>根据《溧水县交通发展“十二五”规划》研究成果，“十二五”期间，溧水规划总投资</w:t>
      </w:r>
      <w:r>
        <w:rPr>
          <w:rFonts w:ascii="楷体" w:hAnsi="楷体" w:eastAsia="楷体"/>
          <w:kern w:val="4"/>
          <w:sz w:val="21"/>
          <w:szCs w:val="21"/>
        </w:rPr>
        <w:t>76.41亿元，公路总投资规划具体项目如下表：</w:t>
      </w:r>
    </w:p>
    <w:p>
      <w:pPr>
        <w:spacing w:line="360" w:lineRule="auto"/>
        <w:ind w:firstLine="0" w:firstLineChars="0"/>
        <w:jc w:val="center"/>
        <w:rPr>
          <w:rFonts w:ascii="Times New Roman" w:hAnsi="Times New Roman" w:eastAsia="黑体"/>
          <w:bCs/>
          <w:kern w:val="4"/>
          <w:sz w:val="24"/>
        </w:rPr>
      </w:pPr>
      <w:r>
        <w:rPr>
          <w:rFonts w:ascii="Times New Roman" w:hAnsi="Times New Roman" w:eastAsia="黑体"/>
          <w:bCs/>
          <w:kern w:val="4"/>
          <w:sz w:val="24"/>
        </w:rPr>
        <w:t>表1-4  溧水区“十二五”</w:t>
      </w:r>
      <w:r>
        <w:rPr>
          <w:rFonts w:hint="eastAsia" w:ascii="Times New Roman" w:hAnsi="Times New Roman" w:eastAsia="黑体"/>
          <w:bCs/>
          <w:kern w:val="4"/>
          <w:sz w:val="24"/>
        </w:rPr>
        <w:t>交通</w:t>
      </w:r>
      <w:r>
        <w:rPr>
          <w:rFonts w:ascii="Times New Roman" w:hAnsi="Times New Roman" w:eastAsia="黑体"/>
          <w:bCs/>
          <w:kern w:val="4"/>
          <w:sz w:val="24"/>
        </w:rPr>
        <w:t>项目建设情况</w:t>
      </w:r>
    </w:p>
    <w:tbl>
      <w:tblPr>
        <w:tblStyle w:val="30"/>
        <w:tblW w:w="9072"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9"/>
        <w:gridCol w:w="3912"/>
        <w:gridCol w:w="1701"/>
        <w:gridCol w:w="992"/>
        <w:gridCol w:w="1558"/>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909" w:type="dxa"/>
            <w:tcBorders>
              <w:top w:val="double" w:color="auto" w:sz="4" w:space="0"/>
            </w:tcBorders>
            <w:noWrap/>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序号</w:t>
            </w:r>
          </w:p>
        </w:tc>
        <w:tc>
          <w:tcPr>
            <w:tcW w:w="3912" w:type="dxa"/>
            <w:tcBorders>
              <w:top w:val="double" w:color="auto" w:sz="4" w:space="0"/>
            </w:tcBorders>
            <w:vAlign w:val="center"/>
          </w:tcPr>
          <w:p>
            <w:pPr>
              <w:widowControl/>
              <w:autoSpaceDE/>
              <w:autoSpaceDN/>
              <w:ind w:firstLine="0" w:firstLineChars="0"/>
              <w:jc w:val="center"/>
              <w:rPr>
                <w:rFonts w:ascii="Times New Roman" w:hAnsi="Times New Roman" w:eastAsia="楷体"/>
                <w:b/>
                <w:bCs/>
                <w:kern w:val="4"/>
                <w:sz w:val="21"/>
                <w:szCs w:val="21"/>
              </w:rPr>
            </w:pPr>
            <w:r>
              <w:rPr>
                <w:rFonts w:hint="eastAsia" w:ascii="Times New Roman" w:hAnsi="Times New Roman" w:eastAsia="楷体"/>
                <w:b/>
                <w:bCs/>
                <w:kern w:val="4"/>
                <w:sz w:val="21"/>
                <w:szCs w:val="21"/>
              </w:rPr>
              <w:t>“</w:t>
            </w:r>
            <w:r>
              <w:rPr>
                <w:rFonts w:ascii="Times New Roman" w:hAnsi="Times New Roman" w:eastAsia="楷体"/>
                <w:b/>
                <w:bCs/>
                <w:kern w:val="4"/>
                <w:sz w:val="21"/>
                <w:szCs w:val="21"/>
              </w:rPr>
              <w:t>十二五</w:t>
            </w:r>
            <w:r>
              <w:rPr>
                <w:rFonts w:hint="eastAsia" w:ascii="Times New Roman" w:hAnsi="Times New Roman" w:eastAsia="楷体"/>
                <w:b/>
                <w:bCs/>
                <w:kern w:val="4"/>
                <w:sz w:val="21"/>
                <w:szCs w:val="21"/>
              </w:rPr>
              <w:t>”</w:t>
            </w:r>
            <w:r>
              <w:rPr>
                <w:rFonts w:ascii="Times New Roman" w:hAnsi="Times New Roman" w:eastAsia="楷体"/>
                <w:b/>
                <w:bCs/>
                <w:kern w:val="4"/>
                <w:sz w:val="21"/>
                <w:szCs w:val="21"/>
              </w:rPr>
              <w:t>建设计划项目名称</w:t>
            </w:r>
          </w:p>
        </w:tc>
        <w:tc>
          <w:tcPr>
            <w:tcW w:w="1701" w:type="dxa"/>
            <w:tcBorders>
              <w:top w:val="double" w:color="auto" w:sz="4" w:space="0"/>
            </w:tcBorders>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建设年限</w:t>
            </w:r>
          </w:p>
        </w:tc>
        <w:tc>
          <w:tcPr>
            <w:tcW w:w="992" w:type="dxa"/>
            <w:tcBorders>
              <w:top w:val="double" w:color="auto" w:sz="4" w:space="0"/>
            </w:tcBorders>
            <w:noWrap/>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完成情况</w:t>
            </w:r>
          </w:p>
        </w:tc>
        <w:tc>
          <w:tcPr>
            <w:tcW w:w="1558" w:type="dxa"/>
            <w:tcBorders>
              <w:top w:val="double" w:color="auto" w:sz="4" w:space="0"/>
            </w:tcBorders>
            <w:noWrap/>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909" w:type="dxa"/>
            <w:noWrap/>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一</w:t>
            </w:r>
          </w:p>
        </w:tc>
        <w:tc>
          <w:tcPr>
            <w:tcW w:w="3912"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高速公路</w:t>
            </w:r>
          </w:p>
        </w:tc>
        <w:tc>
          <w:tcPr>
            <w:tcW w:w="4251" w:type="dxa"/>
            <w:gridSpan w:val="3"/>
            <w:noWrap/>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909"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w:t>
            </w:r>
          </w:p>
        </w:tc>
        <w:tc>
          <w:tcPr>
            <w:tcW w:w="3912"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溧水至马鞍山高速公路溧水段</w:t>
            </w:r>
          </w:p>
        </w:tc>
        <w:tc>
          <w:tcPr>
            <w:tcW w:w="1701"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2010-2013</w:t>
            </w:r>
          </w:p>
        </w:tc>
        <w:tc>
          <w:tcPr>
            <w:tcW w:w="992"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w:t>
            </w:r>
          </w:p>
        </w:tc>
        <w:tc>
          <w:tcPr>
            <w:tcW w:w="1558" w:type="dxa"/>
            <w:noWrap/>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909"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w:t>
            </w:r>
          </w:p>
        </w:tc>
        <w:tc>
          <w:tcPr>
            <w:tcW w:w="3912"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高淳至芜湖高速公路溧水段</w:t>
            </w:r>
          </w:p>
        </w:tc>
        <w:tc>
          <w:tcPr>
            <w:tcW w:w="1701"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2011-2013</w:t>
            </w:r>
          </w:p>
        </w:tc>
        <w:tc>
          <w:tcPr>
            <w:tcW w:w="992"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w:t>
            </w:r>
          </w:p>
        </w:tc>
        <w:tc>
          <w:tcPr>
            <w:tcW w:w="1558" w:type="dxa"/>
            <w:noWrap/>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909"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3</w:t>
            </w:r>
          </w:p>
        </w:tc>
        <w:tc>
          <w:tcPr>
            <w:tcW w:w="3912"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宁高高速公路联网收费</w:t>
            </w:r>
          </w:p>
        </w:tc>
        <w:tc>
          <w:tcPr>
            <w:tcW w:w="1701"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2011-2013</w:t>
            </w:r>
          </w:p>
        </w:tc>
        <w:tc>
          <w:tcPr>
            <w:tcW w:w="992"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w:t>
            </w:r>
          </w:p>
        </w:tc>
        <w:tc>
          <w:tcPr>
            <w:tcW w:w="1558" w:type="dxa"/>
            <w:noWrap/>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909"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4</w:t>
            </w:r>
          </w:p>
        </w:tc>
        <w:tc>
          <w:tcPr>
            <w:tcW w:w="3912"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溧阳至高淳高速公路溧水段</w:t>
            </w:r>
          </w:p>
        </w:tc>
        <w:tc>
          <w:tcPr>
            <w:tcW w:w="1701"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2012-2015</w:t>
            </w:r>
          </w:p>
        </w:tc>
        <w:tc>
          <w:tcPr>
            <w:tcW w:w="992"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w:t>
            </w:r>
          </w:p>
        </w:tc>
        <w:tc>
          <w:tcPr>
            <w:tcW w:w="1558"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溧水段未开工</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909" w:type="dxa"/>
            <w:noWrap/>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二</w:t>
            </w:r>
          </w:p>
        </w:tc>
        <w:tc>
          <w:tcPr>
            <w:tcW w:w="3912"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地方干线公路</w:t>
            </w:r>
          </w:p>
        </w:tc>
        <w:tc>
          <w:tcPr>
            <w:tcW w:w="4251" w:type="dxa"/>
            <w:gridSpan w:val="3"/>
            <w:noWrap/>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909"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w:t>
            </w:r>
          </w:p>
        </w:tc>
        <w:tc>
          <w:tcPr>
            <w:tcW w:w="3912"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246省道溧水至高淳段</w:t>
            </w:r>
          </w:p>
        </w:tc>
        <w:tc>
          <w:tcPr>
            <w:tcW w:w="1701"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2009-2011</w:t>
            </w:r>
          </w:p>
        </w:tc>
        <w:tc>
          <w:tcPr>
            <w:tcW w:w="992"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w:t>
            </w:r>
          </w:p>
        </w:tc>
        <w:tc>
          <w:tcPr>
            <w:tcW w:w="1558" w:type="dxa"/>
            <w:noWrap/>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909"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w:t>
            </w:r>
          </w:p>
        </w:tc>
        <w:tc>
          <w:tcPr>
            <w:tcW w:w="3912"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246省道至宁杭高速公路溧水东互通连接线</w:t>
            </w:r>
          </w:p>
        </w:tc>
        <w:tc>
          <w:tcPr>
            <w:tcW w:w="1701"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2011</w:t>
            </w:r>
          </w:p>
        </w:tc>
        <w:tc>
          <w:tcPr>
            <w:tcW w:w="992"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w:t>
            </w:r>
          </w:p>
        </w:tc>
        <w:tc>
          <w:tcPr>
            <w:tcW w:w="1558" w:type="dxa"/>
            <w:noWrap/>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909"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3</w:t>
            </w:r>
          </w:p>
        </w:tc>
        <w:tc>
          <w:tcPr>
            <w:tcW w:w="3912"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南京至高淳新干线公路溧水段</w:t>
            </w:r>
          </w:p>
        </w:tc>
        <w:tc>
          <w:tcPr>
            <w:tcW w:w="1701"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2011-2015</w:t>
            </w:r>
          </w:p>
        </w:tc>
        <w:tc>
          <w:tcPr>
            <w:tcW w:w="992"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w:t>
            </w:r>
          </w:p>
        </w:tc>
        <w:tc>
          <w:tcPr>
            <w:tcW w:w="1558"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溧水段已建成</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909"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4</w:t>
            </w:r>
          </w:p>
        </w:tc>
        <w:tc>
          <w:tcPr>
            <w:tcW w:w="3912"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340省道常溧公路溧水段</w:t>
            </w:r>
          </w:p>
        </w:tc>
        <w:tc>
          <w:tcPr>
            <w:tcW w:w="1701"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2013-2014</w:t>
            </w:r>
          </w:p>
        </w:tc>
        <w:tc>
          <w:tcPr>
            <w:tcW w:w="992"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w:t>
            </w:r>
          </w:p>
        </w:tc>
        <w:tc>
          <w:tcPr>
            <w:tcW w:w="1558" w:type="dxa"/>
            <w:noWrap/>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397" w:hRule="atLeast"/>
          <w:tblHeader/>
          <w:jc w:val="center"/>
        </w:trPr>
        <w:tc>
          <w:tcPr>
            <w:tcW w:w="909"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5</w:t>
            </w:r>
          </w:p>
        </w:tc>
        <w:tc>
          <w:tcPr>
            <w:tcW w:w="3912"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341省道溧水段</w:t>
            </w:r>
          </w:p>
        </w:tc>
        <w:tc>
          <w:tcPr>
            <w:tcW w:w="1701"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2013-2016</w:t>
            </w:r>
          </w:p>
        </w:tc>
        <w:tc>
          <w:tcPr>
            <w:tcW w:w="992"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w:t>
            </w:r>
          </w:p>
        </w:tc>
        <w:tc>
          <w:tcPr>
            <w:tcW w:w="1558"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在建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909"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6</w:t>
            </w:r>
          </w:p>
        </w:tc>
        <w:tc>
          <w:tcPr>
            <w:tcW w:w="3912"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246省道南京至溧水段</w:t>
            </w:r>
          </w:p>
        </w:tc>
        <w:tc>
          <w:tcPr>
            <w:tcW w:w="1701"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2014-2016</w:t>
            </w:r>
          </w:p>
        </w:tc>
        <w:tc>
          <w:tcPr>
            <w:tcW w:w="992"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w:t>
            </w:r>
          </w:p>
        </w:tc>
        <w:tc>
          <w:tcPr>
            <w:tcW w:w="1558"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在建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909"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7</w:t>
            </w:r>
          </w:p>
        </w:tc>
        <w:tc>
          <w:tcPr>
            <w:tcW w:w="3912"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204省道溧水段</w:t>
            </w:r>
          </w:p>
        </w:tc>
        <w:tc>
          <w:tcPr>
            <w:tcW w:w="1701"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2017-2019</w:t>
            </w:r>
          </w:p>
        </w:tc>
        <w:tc>
          <w:tcPr>
            <w:tcW w:w="992"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w:t>
            </w:r>
          </w:p>
        </w:tc>
        <w:tc>
          <w:tcPr>
            <w:tcW w:w="1558"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前期工作</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909" w:type="dxa"/>
            <w:noWrap/>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三</w:t>
            </w:r>
          </w:p>
        </w:tc>
        <w:tc>
          <w:tcPr>
            <w:tcW w:w="3912"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路网连接公路</w:t>
            </w:r>
          </w:p>
        </w:tc>
        <w:tc>
          <w:tcPr>
            <w:tcW w:w="4251" w:type="dxa"/>
            <w:gridSpan w:val="3"/>
            <w:noWrap/>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909"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w:t>
            </w:r>
          </w:p>
        </w:tc>
        <w:tc>
          <w:tcPr>
            <w:tcW w:w="3912"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傅家边竹海大道</w:t>
            </w:r>
          </w:p>
        </w:tc>
        <w:tc>
          <w:tcPr>
            <w:tcW w:w="1701"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2012-2013</w:t>
            </w:r>
          </w:p>
        </w:tc>
        <w:tc>
          <w:tcPr>
            <w:tcW w:w="992"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w:t>
            </w:r>
          </w:p>
        </w:tc>
        <w:tc>
          <w:tcPr>
            <w:tcW w:w="1558" w:type="dxa"/>
            <w:noWrap/>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909" w:type="dxa"/>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b/>
                <w:bCs/>
                <w:kern w:val="4"/>
                <w:sz w:val="21"/>
                <w:szCs w:val="21"/>
              </w:rPr>
              <w:t>四</w:t>
            </w:r>
          </w:p>
        </w:tc>
        <w:tc>
          <w:tcPr>
            <w:tcW w:w="3912" w:type="dxa"/>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b/>
                <w:bCs/>
                <w:kern w:val="4"/>
                <w:sz w:val="21"/>
                <w:szCs w:val="21"/>
              </w:rPr>
              <w:t>农村公路</w:t>
            </w:r>
          </w:p>
        </w:tc>
        <w:tc>
          <w:tcPr>
            <w:tcW w:w="1701" w:type="dxa"/>
            <w:noWrap/>
            <w:vAlign w:val="center"/>
          </w:tcPr>
          <w:p>
            <w:pPr>
              <w:widowControl/>
              <w:autoSpaceDE/>
              <w:autoSpaceDN/>
              <w:ind w:firstLine="0" w:firstLineChars="0"/>
              <w:jc w:val="center"/>
              <w:rPr>
                <w:rFonts w:ascii="Times New Roman" w:hAnsi="Times New Roman" w:eastAsia="楷体"/>
                <w:kern w:val="4"/>
                <w:sz w:val="21"/>
                <w:szCs w:val="21"/>
              </w:rPr>
            </w:pPr>
          </w:p>
        </w:tc>
        <w:tc>
          <w:tcPr>
            <w:tcW w:w="992" w:type="dxa"/>
            <w:noWrap/>
            <w:vAlign w:val="center"/>
          </w:tcPr>
          <w:p>
            <w:pPr>
              <w:widowControl/>
              <w:autoSpaceDE/>
              <w:autoSpaceDN/>
              <w:ind w:firstLine="0" w:firstLineChars="0"/>
              <w:jc w:val="center"/>
              <w:rPr>
                <w:rFonts w:ascii="Times New Roman" w:hAnsi="Times New Roman" w:eastAsia="楷体"/>
                <w:kern w:val="4"/>
                <w:sz w:val="21"/>
                <w:szCs w:val="21"/>
              </w:rPr>
            </w:pPr>
          </w:p>
        </w:tc>
        <w:tc>
          <w:tcPr>
            <w:tcW w:w="1558" w:type="dxa"/>
            <w:noWrap/>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909" w:type="dxa"/>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1</w:t>
            </w:r>
          </w:p>
        </w:tc>
        <w:tc>
          <w:tcPr>
            <w:tcW w:w="3912" w:type="dxa"/>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每年</w:t>
            </w:r>
            <w:r>
              <w:rPr>
                <w:rFonts w:ascii="Times New Roman" w:hAnsi="Times New Roman" w:eastAsia="楷体"/>
                <w:kern w:val="4"/>
                <w:sz w:val="21"/>
                <w:szCs w:val="21"/>
              </w:rPr>
              <w:t>50公里农路改造和部分危桥的加固、改造</w:t>
            </w:r>
          </w:p>
        </w:tc>
        <w:tc>
          <w:tcPr>
            <w:tcW w:w="1701" w:type="dxa"/>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2</w:t>
            </w:r>
            <w:r>
              <w:rPr>
                <w:rFonts w:ascii="Times New Roman" w:hAnsi="Times New Roman" w:eastAsia="楷体"/>
                <w:kern w:val="4"/>
                <w:sz w:val="21"/>
                <w:szCs w:val="21"/>
              </w:rPr>
              <w:t>011-2015</w:t>
            </w:r>
          </w:p>
        </w:tc>
        <w:tc>
          <w:tcPr>
            <w:tcW w:w="992"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w:t>
            </w:r>
          </w:p>
        </w:tc>
        <w:tc>
          <w:tcPr>
            <w:tcW w:w="1558" w:type="dxa"/>
            <w:noWrap/>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909" w:type="dxa"/>
            <w:noWrap/>
            <w:vAlign w:val="center"/>
          </w:tcPr>
          <w:p>
            <w:pPr>
              <w:widowControl/>
              <w:autoSpaceDE/>
              <w:autoSpaceDN/>
              <w:ind w:firstLine="0" w:firstLineChars="0"/>
              <w:jc w:val="center"/>
              <w:rPr>
                <w:rFonts w:ascii="Times New Roman" w:hAnsi="Times New Roman" w:eastAsia="楷体"/>
                <w:b/>
                <w:bCs/>
                <w:kern w:val="4"/>
                <w:sz w:val="21"/>
                <w:szCs w:val="21"/>
              </w:rPr>
            </w:pPr>
            <w:r>
              <w:rPr>
                <w:rFonts w:hint="eastAsia" w:ascii="Times New Roman" w:hAnsi="Times New Roman" w:eastAsia="楷体"/>
                <w:b/>
                <w:bCs/>
                <w:kern w:val="4"/>
                <w:sz w:val="21"/>
                <w:szCs w:val="21"/>
              </w:rPr>
              <w:t>五</w:t>
            </w:r>
          </w:p>
        </w:tc>
        <w:tc>
          <w:tcPr>
            <w:tcW w:w="3912" w:type="dxa"/>
            <w:vAlign w:val="center"/>
          </w:tcPr>
          <w:p>
            <w:pPr>
              <w:widowControl/>
              <w:autoSpaceDE/>
              <w:autoSpaceDN/>
              <w:ind w:firstLine="0" w:firstLineChars="0"/>
              <w:jc w:val="center"/>
              <w:rPr>
                <w:rFonts w:ascii="Times New Roman" w:hAnsi="Times New Roman" w:eastAsia="楷体"/>
                <w:b/>
                <w:bCs/>
                <w:kern w:val="4"/>
                <w:sz w:val="21"/>
                <w:szCs w:val="21"/>
              </w:rPr>
            </w:pPr>
            <w:r>
              <w:rPr>
                <w:rFonts w:hint="eastAsia" w:ascii="Times New Roman" w:hAnsi="Times New Roman" w:eastAsia="楷体"/>
                <w:b/>
                <w:bCs/>
                <w:kern w:val="4"/>
                <w:sz w:val="21"/>
                <w:szCs w:val="21"/>
              </w:rPr>
              <w:t>航道</w:t>
            </w:r>
          </w:p>
        </w:tc>
        <w:tc>
          <w:tcPr>
            <w:tcW w:w="1701" w:type="dxa"/>
            <w:noWrap/>
            <w:vAlign w:val="center"/>
          </w:tcPr>
          <w:p>
            <w:pPr>
              <w:widowControl/>
              <w:autoSpaceDE/>
              <w:autoSpaceDN/>
              <w:ind w:firstLine="0" w:firstLineChars="0"/>
              <w:jc w:val="center"/>
              <w:rPr>
                <w:rFonts w:ascii="Times New Roman" w:hAnsi="Times New Roman" w:eastAsia="楷体"/>
                <w:kern w:val="4"/>
                <w:sz w:val="21"/>
                <w:szCs w:val="21"/>
              </w:rPr>
            </w:pPr>
          </w:p>
        </w:tc>
        <w:tc>
          <w:tcPr>
            <w:tcW w:w="992" w:type="dxa"/>
            <w:noWrap/>
            <w:vAlign w:val="center"/>
          </w:tcPr>
          <w:p>
            <w:pPr>
              <w:widowControl/>
              <w:autoSpaceDE/>
              <w:autoSpaceDN/>
              <w:ind w:firstLine="0" w:firstLineChars="0"/>
              <w:jc w:val="center"/>
              <w:rPr>
                <w:rFonts w:ascii="Times New Roman" w:hAnsi="Times New Roman" w:eastAsia="楷体"/>
                <w:kern w:val="4"/>
                <w:sz w:val="21"/>
                <w:szCs w:val="21"/>
              </w:rPr>
            </w:pPr>
          </w:p>
        </w:tc>
        <w:tc>
          <w:tcPr>
            <w:tcW w:w="1558" w:type="dxa"/>
            <w:noWrap/>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909" w:type="dxa"/>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1</w:t>
            </w:r>
          </w:p>
        </w:tc>
        <w:tc>
          <w:tcPr>
            <w:tcW w:w="3912" w:type="dxa"/>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秦淮河航道（溧水境内全长</w:t>
            </w:r>
            <w:r>
              <w:rPr>
                <w:rFonts w:ascii="Times New Roman" w:hAnsi="Times New Roman" w:eastAsia="楷体"/>
                <w:kern w:val="4"/>
                <w:sz w:val="21"/>
                <w:szCs w:val="21"/>
              </w:rPr>
              <w:t>35.5公里，四级航道标准。</w:t>
            </w:r>
            <w:r>
              <w:rPr>
                <w:rFonts w:hint="eastAsia" w:ascii="Times New Roman" w:hAnsi="Times New Roman" w:eastAsia="楷体"/>
                <w:kern w:val="4"/>
                <w:sz w:val="21"/>
                <w:szCs w:val="21"/>
              </w:rPr>
              <w:t>）</w:t>
            </w:r>
          </w:p>
        </w:tc>
        <w:tc>
          <w:tcPr>
            <w:tcW w:w="1701" w:type="dxa"/>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2</w:t>
            </w:r>
            <w:r>
              <w:rPr>
                <w:rFonts w:ascii="Times New Roman" w:hAnsi="Times New Roman" w:eastAsia="楷体"/>
                <w:kern w:val="4"/>
                <w:sz w:val="21"/>
                <w:szCs w:val="21"/>
              </w:rPr>
              <w:t>013-2017</w:t>
            </w:r>
          </w:p>
        </w:tc>
        <w:tc>
          <w:tcPr>
            <w:tcW w:w="992"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w:t>
            </w:r>
          </w:p>
        </w:tc>
        <w:tc>
          <w:tcPr>
            <w:tcW w:w="1558" w:type="dxa"/>
            <w:noWrap/>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909" w:type="dxa"/>
            <w:noWrap/>
            <w:vAlign w:val="center"/>
          </w:tcPr>
          <w:p>
            <w:pPr>
              <w:widowControl/>
              <w:autoSpaceDE/>
              <w:autoSpaceDN/>
              <w:ind w:firstLine="0" w:firstLineChars="0"/>
              <w:jc w:val="center"/>
              <w:rPr>
                <w:rFonts w:ascii="Times New Roman" w:hAnsi="Times New Roman" w:eastAsia="楷体"/>
                <w:b/>
                <w:bCs/>
                <w:kern w:val="4"/>
                <w:sz w:val="21"/>
                <w:szCs w:val="21"/>
              </w:rPr>
            </w:pPr>
            <w:r>
              <w:rPr>
                <w:rFonts w:hint="eastAsia" w:ascii="Times New Roman" w:hAnsi="Times New Roman" w:eastAsia="楷体"/>
                <w:b/>
                <w:bCs/>
                <w:kern w:val="4"/>
                <w:sz w:val="21"/>
                <w:szCs w:val="21"/>
              </w:rPr>
              <w:t>六</w:t>
            </w:r>
          </w:p>
        </w:tc>
        <w:tc>
          <w:tcPr>
            <w:tcW w:w="3912" w:type="dxa"/>
            <w:vAlign w:val="center"/>
          </w:tcPr>
          <w:p>
            <w:pPr>
              <w:widowControl/>
              <w:autoSpaceDE/>
              <w:autoSpaceDN/>
              <w:ind w:firstLine="0" w:firstLineChars="0"/>
              <w:jc w:val="center"/>
              <w:rPr>
                <w:rFonts w:ascii="Times New Roman" w:hAnsi="Times New Roman" w:eastAsia="楷体"/>
                <w:b/>
                <w:bCs/>
                <w:kern w:val="4"/>
                <w:sz w:val="21"/>
                <w:szCs w:val="21"/>
              </w:rPr>
            </w:pPr>
            <w:r>
              <w:rPr>
                <w:rFonts w:hint="eastAsia" w:ascii="Times New Roman" w:hAnsi="Times New Roman" w:eastAsia="楷体"/>
                <w:b/>
                <w:bCs/>
                <w:kern w:val="4"/>
                <w:sz w:val="21"/>
                <w:szCs w:val="21"/>
              </w:rPr>
              <w:t>铁路</w:t>
            </w:r>
          </w:p>
        </w:tc>
        <w:tc>
          <w:tcPr>
            <w:tcW w:w="1701" w:type="dxa"/>
            <w:noWrap/>
            <w:vAlign w:val="center"/>
          </w:tcPr>
          <w:p>
            <w:pPr>
              <w:widowControl/>
              <w:autoSpaceDE/>
              <w:autoSpaceDN/>
              <w:ind w:firstLine="0" w:firstLineChars="0"/>
              <w:jc w:val="center"/>
              <w:rPr>
                <w:rFonts w:ascii="Times New Roman" w:hAnsi="Times New Roman" w:eastAsia="楷体"/>
                <w:kern w:val="4"/>
                <w:sz w:val="21"/>
                <w:szCs w:val="21"/>
              </w:rPr>
            </w:pPr>
          </w:p>
        </w:tc>
        <w:tc>
          <w:tcPr>
            <w:tcW w:w="992" w:type="dxa"/>
            <w:noWrap/>
            <w:vAlign w:val="center"/>
          </w:tcPr>
          <w:p>
            <w:pPr>
              <w:widowControl/>
              <w:autoSpaceDE/>
              <w:autoSpaceDN/>
              <w:ind w:firstLine="0" w:firstLineChars="0"/>
              <w:jc w:val="center"/>
              <w:rPr>
                <w:rFonts w:ascii="Times New Roman" w:hAnsi="Times New Roman" w:eastAsia="楷体"/>
                <w:kern w:val="4"/>
                <w:sz w:val="21"/>
                <w:szCs w:val="21"/>
              </w:rPr>
            </w:pPr>
          </w:p>
        </w:tc>
        <w:tc>
          <w:tcPr>
            <w:tcW w:w="1558" w:type="dxa"/>
            <w:noWrap/>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909" w:type="dxa"/>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1</w:t>
            </w:r>
          </w:p>
        </w:tc>
        <w:tc>
          <w:tcPr>
            <w:tcW w:w="3912" w:type="dxa"/>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宁杭铁路（宁杭铁路溧水境内途经东屏、永阳、白马，总长</w:t>
            </w:r>
            <w:r>
              <w:rPr>
                <w:rFonts w:ascii="Times New Roman" w:hAnsi="Times New Roman" w:eastAsia="楷体"/>
                <w:kern w:val="4"/>
                <w:sz w:val="21"/>
                <w:szCs w:val="21"/>
              </w:rPr>
              <w:t>29.04公里。</w:t>
            </w:r>
            <w:r>
              <w:rPr>
                <w:rFonts w:hint="eastAsia" w:ascii="Times New Roman" w:hAnsi="Times New Roman" w:eastAsia="楷体"/>
                <w:kern w:val="4"/>
                <w:sz w:val="21"/>
                <w:szCs w:val="21"/>
              </w:rPr>
              <w:t>）</w:t>
            </w:r>
          </w:p>
        </w:tc>
        <w:tc>
          <w:tcPr>
            <w:tcW w:w="1701" w:type="dxa"/>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2</w:t>
            </w:r>
            <w:r>
              <w:rPr>
                <w:rFonts w:ascii="Times New Roman" w:hAnsi="Times New Roman" w:eastAsia="楷体"/>
                <w:kern w:val="4"/>
                <w:sz w:val="21"/>
                <w:szCs w:val="21"/>
              </w:rPr>
              <w:t>009-2011</w:t>
            </w:r>
          </w:p>
        </w:tc>
        <w:tc>
          <w:tcPr>
            <w:tcW w:w="992"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w:t>
            </w:r>
          </w:p>
        </w:tc>
        <w:tc>
          <w:tcPr>
            <w:tcW w:w="1558" w:type="dxa"/>
            <w:noWrap/>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397" w:hRule="atLeast"/>
          <w:tblHeader/>
          <w:jc w:val="center"/>
        </w:trPr>
        <w:tc>
          <w:tcPr>
            <w:tcW w:w="909" w:type="dxa"/>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2</w:t>
            </w:r>
          </w:p>
        </w:tc>
        <w:tc>
          <w:tcPr>
            <w:tcW w:w="3912" w:type="dxa"/>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近期广场总面积</w:t>
            </w:r>
            <w:r>
              <w:rPr>
                <w:rFonts w:ascii="Times New Roman" w:hAnsi="Times New Roman" w:eastAsia="楷体"/>
                <w:kern w:val="4"/>
                <w:sz w:val="21"/>
                <w:szCs w:val="21"/>
              </w:rPr>
              <w:t>23249平方米，人员集散区面积7000平方米,连接道路500米。</w:t>
            </w:r>
          </w:p>
        </w:tc>
        <w:tc>
          <w:tcPr>
            <w:tcW w:w="1701" w:type="dxa"/>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2</w:t>
            </w:r>
            <w:r>
              <w:rPr>
                <w:rFonts w:ascii="Times New Roman" w:hAnsi="Times New Roman" w:eastAsia="楷体"/>
                <w:kern w:val="4"/>
                <w:sz w:val="21"/>
                <w:szCs w:val="21"/>
              </w:rPr>
              <w:t>011-2012</w:t>
            </w:r>
          </w:p>
        </w:tc>
        <w:tc>
          <w:tcPr>
            <w:tcW w:w="992"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w:t>
            </w:r>
          </w:p>
        </w:tc>
        <w:tc>
          <w:tcPr>
            <w:tcW w:w="1558" w:type="dxa"/>
            <w:noWrap/>
            <w:vAlign w:val="center"/>
          </w:tcPr>
          <w:p>
            <w:pPr>
              <w:widowControl/>
              <w:autoSpaceDE/>
              <w:autoSpaceDN/>
              <w:ind w:firstLine="0" w:firstLineChars="0"/>
              <w:jc w:val="center"/>
              <w:rPr>
                <w:rFonts w:ascii="Times New Roman" w:hAnsi="Times New Roman" w:eastAsia="楷体"/>
                <w:kern w:val="4"/>
                <w:sz w:val="21"/>
                <w:szCs w:val="21"/>
              </w:rPr>
            </w:pPr>
          </w:p>
        </w:tc>
      </w:tr>
    </w:tbl>
    <w:p>
      <w:pPr>
        <w:spacing w:line="480" w:lineRule="exact"/>
        <w:ind w:firstLine="600"/>
        <w:rPr>
          <w:rFonts w:ascii="楷体" w:hAnsi="楷体" w:eastAsia="楷体"/>
          <w:b/>
          <w:kern w:val="4"/>
          <w:sz w:val="21"/>
          <w:szCs w:val="21"/>
        </w:rPr>
      </w:pPr>
      <w:r>
        <w:rPr>
          <w:rFonts w:ascii="Times New Roman" w:hAnsi="Times New Roman" w:eastAsia="仿宋_GB2312"/>
          <w:kern w:val="4"/>
          <w:sz w:val="30"/>
          <w:szCs w:val="30"/>
        </w:rPr>
        <mc:AlternateContent>
          <mc:Choice Requires="wps">
            <w:drawing>
              <wp:anchor distT="0" distB="0" distL="114300" distR="114300" simplePos="0" relativeHeight="251659264" behindDoc="1" locked="0" layoutInCell="1" allowOverlap="1">
                <wp:simplePos x="0" y="0"/>
                <wp:positionH relativeFrom="column">
                  <wp:posOffset>-61595</wp:posOffset>
                </wp:positionH>
                <wp:positionV relativeFrom="paragraph">
                  <wp:posOffset>-4942840</wp:posOffset>
                </wp:positionV>
                <wp:extent cx="6021070" cy="8540115"/>
                <wp:effectExtent l="4445" t="4445" r="13335" b="8890"/>
                <wp:wrapNone/>
                <wp:docPr id="12" name="文本框 5"/>
                <wp:cNvGraphicFramePr/>
                <a:graphic xmlns:a="http://schemas.openxmlformats.org/drawingml/2006/main">
                  <a:graphicData uri="http://schemas.microsoft.com/office/word/2010/wordprocessingShape">
                    <wps:wsp>
                      <wps:cNvSpPr txBox="1"/>
                      <wps:spPr>
                        <a:xfrm>
                          <a:off x="0" y="0"/>
                          <a:ext cx="6021070" cy="8540115"/>
                        </a:xfrm>
                        <a:prstGeom prst="rect">
                          <a:avLst/>
                        </a:prstGeom>
                        <a:solidFill>
                          <a:srgbClr val="D8D8D8">
                            <a:alpha val="70000"/>
                          </a:srgbClr>
                        </a:solidFill>
                        <a:ln w="9525" cap="flat" cmpd="sng">
                          <a:solidFill>
                            <a:srgbClr val="000000"/>
                          </a:solidFill>
                          <a:prstDash val="solid"/>
                          <a:miter/>
                          <a:headEnd type="none" w="med" len="med"/>
                          <a:tailEnd type="none" w="med" len="med"/>
                        </a:ln>
                      </wps:spPr>
                      <wps:txbx>
                        <w:txbxContent>
                          <w:p>
                            <w:pPr>
                              <w:ind w:firstLine="560"/>
                            </w:pPr>
                          </w:p>
                        </w:txbxContent>
                      </wps:txbx>
                      <wps:bodyPr upright="1"/>
                    </wps:wsp>
                  </a:graphicData>
                </a:graphic>
              </wp:anchor>
            </w:drawing>
          </mc:Choice>
          <mc:Fallback>
            <w:pict>
              <v:shape id="文本框 5" o:spid="_x0000_s1026" o:spt="202" type="#_x0000_t202" style="position:absolute;left:0pt;margin-left:-4.85pt;margin-top:-389.2pt;height:672.45pt;width:474.1pt;z-index:-251657216;mso-width-relative:page;mso-height-relative:page;" fillcolor="#D8D8D8" filled="t" stroked="t" coordsize="21600,21600" o:gfxdata="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DHuZd3c&#10;AAAACwEAAA8AAAAAAAAAAQAgAAAAIgAAAGRycy9kb3ducmV2LnhtbFBLAQIUABQAAAAIAIdO4kBh&#10;AFG/HAIAAFkEAAAOAAAAAAAAAAEAIAAAACsBAABkcnMvZTJvRG9jLnhtbFBLBQYAAAAABgAGAFkB&#10;AAC5BQAAAAA=&#10;">
                <v:fill on="t" opacity="45875f" focussize="0,0"/>
                <v:stroke color="#000000" joinstyle="miter"/>
                <v:imagedata o:title=""/>
                <o:lock v:ext="edit" aspectratio="f"/>
                <v:textbox>
                  <w:txbxContent>
                    <w:p>
                      <w:pPr>
                        <w:ind w:firstLine="560"/>
                      </w:pPr>
                    </w:p>
                  </w:txbxContent>
                </v:textbox>
              </v:shape>
            </w:pict>
          </mc:Fallback>
        </mc:AlternateContent>
      </w:r>
      <w:r>
        <w:rPr>
          <w:rFonts w:ascii="楷体" w:hAnsi="楷体" w:eastAsia="楷体"/>
          <w:b/>
          <w:kern w:val="4"/>
          <w:sz w:val="21"/>
          <w:szCs w:val="21"/>
        </w:rPr>
        <w:t>1、公路建设完成情况</w:t>
      </w:r>
    </w:p>
    <w:p>
      <w:pPr>
        <w:spacing w:line="360" w:lineRule="auto"/>
        <w:ind w:firstLine="420"/>
        <w:rPr>
          <w:rFonts w:ascii="楷体" w:hAnsi="楷体" w:eastAsia="楷体"/>
          <w:kern w:val="4"/>
          <w:sz w:val="21"/>
          <w:szCs w:val="21"/>
        </w:rPr>
      </w:pPr>
      <w:r>
        <w:rPr>
          <w:rFonts w:hint="eastAsia" w:ascii="楷体" w:hAnsi="楷体" w:eastAsia="楷体"/>
          <w:kern w:val="4"/>
          <w:sz w:val="21"/>
          <w:szCs w:val="21"/>
        </w:rPr>
        <w:t>“十二五”期间</w:t>
      </w:r>
      <w:r>
        <w:rPr>
          <w:rFonts w:ascii="楷体" w:hAnsi="楷体" w:eastAsia="楷体"/>
          <w:kern w:val="4"/>
          <w:sz w:val="21"/>
          <w:szCs w:val="21"/>
        </w:rPr>
        <w:t>，</w:t>
      </w:r>
      <w:r>
        <w:rPr>
          <w:rFonts w:hint="eastAsia" w:ascii="楷体" w:hAnsi="楷体" w:eastAsia="楷体"/>
          <w:kern w:val="4"/>
          <w:sz w:val="21"/>
          <w:szCs w:val="21"/>
        </w:rPr>
        <w:t>计划</w:t>
      </w:r>
      <w:r>
        <w:rPr>
          <w:rFonts w:ascii="楷体" w:hAnsi="楷体" w:eastAsia="楷体"/>
          <w:kern w:val="4"/>
          <w:sz w:val="21"/>
          <w:szCs w:val="21"/>
        </w:rPr>
        <w:t>投资59.38</w:t>
      </w:r>
      <w:r>
        <w:rPr>
          <w:rFonts w:hint="eastAsia" w:ascii="楷体" w:hAnsi="楷体" w:eastAsia="楷体"/>
          <w:kern w:val="4"/>
          <w:sz w:val="21"/>
          <w:szCs w:val="21"/>
        </w:rPr>
        <w:t>亿元</w:t>
      </w:r>
      <w:r>
        <w:rPr>
          <w:rFonts w:ascii="楷体" w:hAnsi="楷体" w:eastAsia="楷体"/>
          <w:kern w:val="4"/>
          <w:sz w:val="21"/>
          <w:szCs w:val="21"/>
        </w:rPr>
        <w:t>（</w:t>
      </w:r>
      <w:r>
        <w:rPr>
          <w:rFonts w:hint="eastAsia" w:ascii="楷体" w:hAnsi="楷体" w:eastAsia="楷体"/>
          <w:kern w:val="4"/>
          <w:sz w:val="21"/>
          <w:szCs w:val="21"/>
        </w:rPr>
        <w:t>其中</w:t>
      </w:r>
      <w:r>
        <w:rPr>
          <w:rFonts w:ascii="楷体" w:hAnsi="楷体" w:eastAsia="楷体"/>
          <w:kern w:val="4"/>
          <w:sz w:val="21"/>
          <w:szCs w:val="21"/>
        </w:rPr>
        <w:t>，</w:t>
      </w:r>
      <w:r>
        <w:rPr>
          <w:rFonts w:hint="eastAsia" w:ascii="楷体" w:hAnsi="楷体" w:eastAsia="楷体"/>
          <w:kern w:val="4"/>
          <w:sz w:val="21"/>
          <w:szCs w:val="21"/>
        </w:rPr>
        <w:t>高速16.3</w:t>
      </w:r>
      <w:r>
        <w:rPr>
          <w:rFonts w:ascii="楷体" w:hAnsi="楷体" w:eastAsia="楷体"/>
          <w:kern w:val="4"/>
          <w:sz w:val="21"/>
          <w:szCs w:val="21"/>
        </w:rPr>
        <w:t>0</w:t>
      </w:r>
      <w:r>
        <w:rPr>
          <w:rFonts w:hint="eastAsia" w:ascii="楷体" w:hAnsi="楷体" w:eastAsia="楷体"/>
          <w:kern w:val="4"/>
          <w:sz w:val="21"/>
          <w:szCs w:val="21"/>
        </w:rPr>
        <w:t>亿元</w:t>
      </w:r>
      <w:r>
        <w:rPr>
          <w:rFonts w:ascii="楷体" w:hAnsi="楷体" w:eastAsia="楷体"/>
          <w:kern w:val="4"/>
          <w:sz w:val="21"/>
          <w:szCs w:val="21"/>
        </w:rPr>
        <w:t>、干线41.58</w:t>
      </w:r>
      <w:r>
        <w:rPr>
          <w:rFonts w:hint="eastAsia" w:ascii="楷体" w:hAnsi="楷体" w:eastAsia="楷体"/>
          <w:kern w:val="4"/>
          <w:sz w:val="21"/>
          <w:szCs w:val="21"/>
        </w:rPr>
        <w:t>亿元</w:t>
      </w:r>
      <w:r>
        <w:rPr>
          <w:rFonts w:ascii="楷体" w:hAnsi="楷体" w:eastAsia="楷体"/>
          <w:kern w:val="4"/>
          <w:sz w:val="21"/>
          <w:szCs w:val="21"/>
        </w:rPr>
        <w:t>，</w:t>
      </w:r>
      <w:r>
        <w:rPr>
          <w:rFonts w:hint="eastAsia" w:ascii="楷体" w:hAnsi="楷体" w:eastAsia="楷体"/>
          <w:kern w:val="4"/>
          <w:sz w:val="21"/>
          <w:szCs w:val="21"/>
        </w:rPr>
        <w:t>连接</w:t>
      </w:r>
      <w:r>
        <w:rPr>
          <w:rFonts w:ascii="楷体" w:hAnsi="楷体" w:eastAsia="楷体"/>
          <w:kern w:val="4"/>
          <w:sz w:val="21"/>
          <w:szCs w:val="21"/>
        </w:rPr>
        <w:t>公路</w:t>
      </w:r>
      <w:r>
        <w:rPr>
          <w:rFonts w:hint="eastAsia" w:ascii="楷体" w:hAnsi="楷体" w:eastAsia="楷体"/>
          <w:kern w:val="4"/>
          <w:sz w:val="21"/>
          <w:szCs w:val="21"/>
        </w:rPr>
        <w:t>0.5</w:t>
      </w:r>
      <w:r>
        <w:rPr>
          <w:rFonts w:ascii="楷体" w:hAnsi="楷体" w:eastAsia="楷体"/>
          <w:kern w:val="4"/>
          <w:sz w:val="21"/>
          <w:szCs w:val="21"/>
        </w:rPr>
        <w:t>0</w:t>
      </w:r>
      <w:r>
        <w:rPr>
          <w:rFonts w:hint="eastAsia" w:ascii="楷体" w:hAnsi="楷体" w:eastAsia="楷体"/>
          <w:kern w:val="4"/>
          <w:sz w:val="21"/>
          <w:szCs w:val="21"/>
        </w:rPr>
        <w:t>亿元、</w:t>
      </w:r>
      <w:r>
        <w:rPr>
          <w:rFonts w:ascii="楷体" w:hAnsi="楷体" w:eastAsia="楷体"/>
          <w:kern w:val="4"/>
          <w:sz w:val="21"/>
          <w:szCs w:val="21"/>
        </w:rPr>
        <w:t>农村公路</w:t>
      </w:r>
      <w:r>
        <w:rPr>
          <w:rFonts w:hint="eastAsia" w:ascii="楷体" w:hAnsi="楷体" w:eastAsia="楷体"/>
          <w:kern w:val="4"/>
          <w:sz w:val="21"/>
          <w:szCs w:val="21"/>
        </w:rPr>
        <w:t>1.00亿元</w:t>
      </w:r>
      <w:r>
        <w:rPr>
          <w:rFonts w:ascii="楷体" w:hAnsi="楷体" w:eastAsia="楷体"/>
          <w:kern w:val="4"/>
          <w:sz w:val="21"/>
          <w:szCs w:val="21"/>
        </w:rPr>
        <w:t>）</w:t>
      </w:r>
      <w:r>
        <w:rPr>
          <w:rFonts w:hint="eastAsia" w:ascii="楷体" w:hAnsi="楷体" w:eastAsia="楷体"/>
          <w:kern w:val="4"/>
          <w:sz w:val="21"/>
          <w:szCs w:val="21"/>
        </w:rPr>
        <w:t>，实际</w:t>
      </w:r>
      <w:r>
        <w:rPr>
          <w:rFonts w:ascii="楷体" w:hAnsi="楷体" w:eastAsia="楷体"/>
          <w:kern w:val="4"/>
          <w:sz w:val="21"/>
          <w:szCs w:val="21"/>
        </w:rPr>
        <w:t>完成投资</w:t>
      </w:r>
      <w:r>
        <w:rPr>
          <w:rFonts w:hint="eastAsia" w:ascii="楷体" w:hAnsi="楷体" w:eastAsia="楷体"/>
          <w:kern w:val="4"/>
          <w:sz w:val="21"/>
          <w:szCs w:val="21"/>
        </w:rPr>
        <w:t>54.00亿元</w:t>
      </w:r>
      <w:r>
        <w:rPr>
          <w:rFonts w:ascii="楷体" w:hAnsi="楷体" w:eastAsia="楷体"/>
          <w:kern w:val="4"/>
          <w:sz w:val="21"/>
          <w:szCs w:val="21"/>
        </w:rPr>
        <w:t>，</w:t>
      </w:r>
      <w:r>
        <w:rPr>
          <w:rFonts w:hint="eastAsia" w:ascii="楷体" w:hAnsi="楷体" w:eastAsia="楷体"/>
          <w:kern w:val="4"/>
          <w:sz w:val="21"/>
          <w:szCs w:val="21"/>
        </w:rPr>
        <w:t>占计划</w:t>
      </w:r>
      <w:r>
        <w:rPr>
          <w:rFonts w:ascii="楷体" w:hAnsi="楷体" w:eastAsia="楷体"/>
          <w:kern w:val="4"/>
          <w:sz w:val="21"/>
          <w:szCs w:val="21"/>
        </w:rPr>
        <w:t>投资的92.49%</w:t>
      </w:r>
      <w:r>
        <w:rPr>
          <w:rFonts w:hint="eastAsia" w:ascii="楷体" w:hAnsi="楷体" w:eastAsia="楷体"/>
          <w:kern w:val="4"/>
          <w:sz w:val="21"/>
          <w:szCs w:val="21"/>
        </w:rPr>
        <w:t>，</w:t>
      </w:r>
      <w:r>
        <w:rPr>
          <w:rFonts w:ascii="楷体" w:hAnsi="楷体" w:eastAsia="楷体"/>
          <w:kern w:val="4"/>
          <w:sz w:val="21"/>
          <w:szCs w:val="21"/>
        </w:rPr>
        <w:t>完成情况良好。</w:t>
      </w:r>
      <w:r>
        <w:rPr>
          <w:rFonts w:hint="eastAsia" w:ascii="楷体" w:hAnsi="楷体" w:eastAsia="楷体"/>
          <w:b/>
          <w:kern w:val="4"/>
          <w:sz w:val="21"/>
          <w:szCs w:val="21"/>
        </w:rPr>
        <w:t>高速</w:t>
      </w:r>
      <w:r>
        <w:rPr>
          <w:rFonts w:ascii="楷体" w:hAnsi="楷体" w:eastAsia="楷体"/>
          <w:b/>
          <w:kern w:val="4"/>
          <w:sz w:val="21"/>
          <w:szCs w:val="21"/>
        </w:rPr>
        <w:t>公路</w:t>
      </w:r>
      <w:r>
        <w:rPr>
          <w:rFonts w:hint="eastAsia" w:ascii="楷体" w:hAnsi="楷体" w:eastAsia="楷体"/>
          <w:kern w:val="4"/>
          <w:sz w:val="21"/>
          <w:szCs w:val="21"/>
        </w:rPr>
        <w:t>：完成溧水</w:t>
      </w:r>
      <w:r>
        <w:rPr>
          <w:rFonts w:ascii="楷体" w:hAnsi="楷体" w:eastAsia="楷体"/>
          <w:kern w:val="4"/>
          <w:sz w:val="21"/>
          <w:szCs w:val="21"/>
        </w:rPr>
        <w:t>至马鞍山、</w:t>
      </w:r>
      <w:r>
        <w:rPr>
          <w:rFonts w:hint="eastAsia" w:ascii="楷体" w:hAnsi="楷体" w:eastAsia="楷体"/>
          <w:kern w:val="4"/>
          <w:sz w:val="21"/>
          <w:szCs w:val="21"/>
        </w:rPr>
        <w:t>高淳</w:t>
      </w:r>
      <w:r>
        <w:rPr>
          <w:rFonts w:ascii="楷体" w:hAnsi="楷体" w:eastAsia="楷体"/>
          <w:kern w:val="4"/>
          <w:sz w:val="21"/>
          <w:szCs w:val="21"/>
        </w:rPr>
        <w:t>至芜湖、</w:t>
      </w:r>
      <w:r>
        <w:rPr>
          <w:rFonts w:hint="eastAsia" w:ascii="楷体" w:hAnsi="楷体" w:eastAsia="楷体"/>
          <w:kern w:val="4"/>
          <w:sz w:val="21"/>
          <w:szCs w:val="21"/>
        </w:rPr>
        <w:t>宁高</w:t>
      </w:r>
      <w:r>
        <w:rPr>
          <w:rFonts w:ascii="楷体" w:hAnsi="楷体" w:eastAsia="楷体"/>
          <w:kern w:val="4"/>
          <w:sz w:val="21"/>
          <w:szCs w:val="21"/>
        </w:rPr>
        <w:t>高速</w:t>
      </w:r>
      <w:r>
        <w:rPr>
          <w:rFonts w:hint="eastAsia" w:ascii="楷体" w:hAnsi="楷体" w:eastAsia="楷体"/>
          <w:kern w:val="4"/>
          <w:sz w:val="21"/>
          <w:szCs w:val="21"/>
        </w:rPr>
        <w:t>公路</w:t>
      </w:r>
      <w:r>
        <w:rPr>
          <w:rFonts w:ascii="楷体" w:hAnsi="楷体" w:eastAsia="楷体"/>
          <w:kern w:val="4"/>
          <w:sz w:val="21"/>
          <w:szCs w:val="21"/>
        </w:rPr>
        <w:t>联网收费</w:t>
      </w:r>
      <w:r>
        <w:rPr>
          <w:rFonts w:hint="eastAsia" w:ascii="楷体" w:hAnsi="楷体" w:eastAsia="楷体"/>
          <w:kern w:val="4"/>
          <w:sz w:val="21"/>
          <w:szCs w:val="21"/>
        </w:rPr>
        <w:t>等3个</w:t>
      </w:r>
      <w:r>
        <w:rPr>
          <w:rFonts w:ascii="楷体" w:hAnsi="楷体" w:eastAsia="楷体"/>
          <w:kern w:val="4"/>
          <w:sz w:val="21"/>
          <w:szCs w:val="21"/>
        </w:rPr>
        <w:t>项目，</w:t>
      </w:r>
      <w:r>
        <w:rPr>
          <w:rFonts w:hint="eastAsia" w:ascii="楷体" w:hAnsi="楷体" w:eastAsia="楷体"/>
          <w:kern w:val="4"/>
          <w:sz w:val="21"/>
          <w:szCs w:val="21"/>
        </w:rPr>
        <w:t>只有</w:t>
      </w:r>
      <w:r>
        <w:rPr>
          <w:rFonts w:ascii="楷体" w:hAnsi="楷体" w:eastAsia="楷体"/>
          <w:kern w:val="4"/>
          <w:sz w:val="21"/>
          <w:szCs w:val="21"/>
        </w:rPr>
        <w:t>溧阳</w:t>
      </w:r>
      <w:r>
        <w:rPr>
          <w:rFonts w:hint="eastAsia" w:ascii="楷体" w:hAnsi="楷体" w:eastAsia="楷体"/>
          <w:kern w:val="4"/>
          <w:sz w:val="21"/>
          <w:szCs w:val="21"/>
        </w:rPr>
        <w:t>至</w:t>
      </w:r>
      <w:r>
        <w:rPr>
          <w:rFonts w:ascii="楷体" w:hAnsi="楷体" w:eastAsia="楷体"/>
          <w:kern w:val="4"/>
          <w:sz w:val="21"/>
          <w:szCs w:val="21"/>
        </w:rPr>
        <w:t>高淳项目</w:t>
      </w:r>
      <w:r>
        <w:rPr>
          <w:rFonts w:hint="eastAsia" w:ascii="楷体" w:hAnsi="楷体" w:eastAsia="楷体"/>
          <w:kern w:val="4"/>
          <w:sz w:val="21"/>
          <w:szCs w:val="21"/>
        </w:rPr>
        <w:t>尚未</w:t>
      </w:r>
      <w:r>
        <w:rPr>
          <w:rFonts w:ascii="楷体" w:hAnsi="楷体" w:eastAsia="楷体"/>
          <w:kern w:val="4"/>
          <w:sz w:val="21"/>
          <w:szCs w:val="21"/>
        </w:rPr>
        <w:t>完成。</w:t>
      </w:r>
      <w:r>
        <w:rPr>
          <w:rFonts w:hint="eastAsia" w:ascii="楷体" w:hAnsi="楷体" w:eastAsia="楷体"/>
          <w:b/>
          <w:kern w:val="4"/>
          <w:sz w:val="21"/>
          <w:szCs w:val="21"/>
        </w:rPr>
        <w:t>地方干线公路</w:t>
      </w:r>
      <w:r>
        <w:rPr>
          <w:rFonts w:hint="eastAsia" w:ascii="楷体" w:hAnsi="楷体" w:eastAsia="楷体"/>
          <w:kern w:val="4"/>
          <w:sz w:val="21"/>
          <w:szCs w:val="21"/>
        </w:rPr>
        <w:t>：完成246省道溧水至高淳段、宁杭高速公路溧水东互通连接线、南京至高淳新干线公路溧水段、340省道常溧公路溧水段。此外，341省道溧水段、246省道南京至溧水段正在加紧建设。</w:t>
      </w:r>
      <w:r>
        <w:rPr>
          <w:rFonts w:hint="eastAsia" w:ascii="楷体" w:hAnsi="楷体" w:eastAsia="楷体"/>
          <w:b/>
          <w:kern w:val="4"/>
          <w:sz w:val="21"/>
          <w:szCs w:val="21"/>
        </w:rPr>
        <w:t>路网连接公路</w:t>
      </w:r>
      <w:r>
        <w:rPr>
          <w:rFonts w:hint="eastAsia" w:ascii="楷体" w:hAnsi="楷体" w:eastAsia="楷体"/>
          <w:kern w:val="4"/>
          <w:sz w:val="21"/>
          <w:szCs w:val="21"/>
        </w:rPr>
        <w:t>：全面按照计划完成傅家边竹海大道。</w:t>
      </w:r>
      <w:r>
        <w:rPr>
          <w:rFonts w:hint="eastAsia" w:ascii="楷体" w:hAnsi="楷体" w:eastAsia="楷体"/>
          <w:b/>
          <w:kern w:val="4"/>
          <w:sz w:val="21"/>
          <w:szCs w:val="21"/>
        </w:rPr>
        <w:t>农村公路</w:t>
      </w:r>
      <w:r>
        <w:rPr>
          <w:rFonts w:hint="eastAsia" w:ascii="楷体" w:hAnsi="楷体" w:eastAsia="楷体"/>
          <w:kern w:val="4"/>
          <w:sz w:val="21"/>
          <w:szCs w:val="21"/>
        </w:rPr>
        <w:t>：实际每年改造55公里，超额完成50公里指标。</w:t>
      </w:r>
    </w:p>
    <w:p>
      <w:pPr>
        <w:spacing w:line="360" w:lineRule="auto"/>
        <w:ind w:firstLine="420"/>
        <w:rPr>
          <w:rFonts w:ascii="楷体" w:hAnsi="楷体" w:eastAsia="楷体"/>
          <w:b/>
          <w:kern w:val="4"/>
          <w:sz w:val="21"/>
          <w:szCs w:val="21"/>
        </w:rPr>
      </w:pPr>
      <w:r>
        <w:rPr>
          <w:rFonts w:ascii="楷体" w:hAnsi="楷体" w:eastAsia="楷体"/>
          <w:b/>
          <w:kern w:val="4"/>
          <w:sz w:val="21"/>
          <w:szCs w:val="21"/>
        </w:rPr>
        <w:t>2、</w:t>
      </w:r>
      <w:r>
        <w:rPr>
          <w:rFonts w:hint="eastAsia" w:ascii="楷体" w:hAnsi="楷体" w:eastAsia="楷体"/>
          <w:b/>
          <w:kern w:val="4"/>
          <w:sz w:val="21"/>
          <w:szCs w:val="21"/>
        </w:rPr>
        <w:t>航道完成情况</w:t>
      </w:r>
    </w:p>
    <w:p>
      <w:pPr>
        <w:spacing w:line="360" w:lineRule="auto"/>
        <w:ind w:firstLine="420"/>
        <w:rPr>
          <w:rFonts w:ascii="楷体" w:hAnsi="楷体" w:eastAsia="楷体"/>
          <w:kern w:val="4"/>
          <w:sz w:val="21"/>
          <w:szCs w:val="21"/>
        </w:rPr>
      </w:pPr>
      <w:r>
        <w:rPr>
          <w:rFonts w:hint="eastAsia" w:ascii="楷体" w:hAnsi="楷体" w:eastAsia="楷体"/>
          <w:kern w:val="4"/>
          <w:sz w:val="21"/>
          <w:szCs w:val="21"/>
        </w:rPr>
        <w:t>“十二五”期间，计划完成</w:t>
      </w:r>
      <w:r>
        <w:rPr>
          <w:rFonts w:ascii="楷体" w:hAnsi="楷体" w:eastAsia="楷体"/>
          <w:kern w:val="4"/>
          <w:sz w:val="21"/>
          <w:szCs w:val="21"/>
        </w:rPr>
        <w:t>35.5</w:t>
      </w:r>
      <w:r>
        <w:rPr>
          <w:rFonts w:hint="eastAsia" w:ascii="楷体" w:hAnsi="楷体" w:eastAsia="楷体"/>
          <w:kern w:val="4"/>
          <w:sz w:val="21"/>
          <w:szCs w:val="21"/>
        </w:rPr>
        <w:t>公里的秦淮河航道疏浚工程。受宏观经济发展与政策环境影响，项目实施过程中受到建设项目融资难、前期工作难、用地落实难、建设成本增高等因素影响，未能按照规划目标</w:t>
      </w:r>
      <w:r>
        <w:rPr>
          <w:rFonts w:ascii="楷体" w:hAnsi="楷体" w:eastAsia="楷体"/>
          <w:kern w:val="4"/>
          <w:sz w:val="21"/>
          <w:szCs w:val="21"/>
        </w:rPr>
        <w:t>开工建设</w:t>
      </w:r>
      <w:r>
        <w:rPr>
          <w:rFonts w:hint="eastAsia" w:ascii="楷体" w:hAnsi="楷体" w:eastAsia="楷体"/>
          <w:kern w:val="4"/>
          <w:sz w:val="21"/>
          <w:szCs w:val="21"/>
        </w:rPr>
        <w:t>。</w:t>
      </w:r>
    </w:p>
    <w:p>
      <w:pPr>
        <w:spacing w:line="360" w:lineRule="auto"/>
        <w:ind w:firstLine="420"/>
        <w:rPr>
          <w:rFonts w:ascii="楷体" w:hAnsi="楷体" w:eastAsia="楷体"/>
          <w:b/>
          <w:kern w:val="4"/>
          <w:sz w:val="21"/>
          <w:szCs w:val="21"/>
        </w:rPr>
      </w:pPr>
      <w:r>
        <w:rPr>
          <w:rFonts w:ascii="楷体" w:hAnsi="楷体" w:eastAsia="楷体"/>
          <w:b/>
          <w:kern w:val="4"/>
          <w:sz w:val="21"/>
          <w:szCs w:val="21"/>
        </w:rPr>
        <w:t>3</w:t>
      </w:r>
      <w:r>
        <w:rPr>
          <w:rFonts w:hint="eastAsia" w:ascii="楷体" w:hAnsi="楷体" w:eastAsia="楷体"/>
          <w:b/>
          <w:kern w:val="4"/>
          <w:sz w:val="21"/>
          <w:szCs w:val="21"/>
        </w:rPr>
        <w:t>、铁路完成情况</w:t>
      </w:r>
    </w:p>
    <w:p>
      <w:pPr>
        <w:spacing w:line="360" w:lineRule="auto"/>
        <w:ind w:firstLine="420"/>
        <w:rPr>
          <w:rFonts w:ascii="楷体" w:hAnsi="楷体" w:eastAsia="楷体"/>
          <w:kern w:val="4"/>
          <w:sz w:val="21"/>
          <w:szCs w:val="21"/>
        </w:rPr>
      </w:pPr>
      <w:r>
        <w:rPr>
          <w:rFonts w:hint="eastAsia" w:ascii="楷体" w:hAnsi="楷体" w:eastAsia="楷体"/>
          <w:kern w:val="4"/>
          <w:sz w:val="21"/>
          <w:szCs w:val="21"/>
        </w:rPr>
        <w:t>“十二五”期间，按照计划实际完成宁杭铁路、宁杭铁路溧水站站前广场两个重大项目，完成情况</w:t>
      </w:r>
      <w:r>
        <w:rPr>
          <w:rFonts w:ascii="楷体" w:hAnsi="楷体" w:eastAsia="楷体"/>
          <w:kern w:val="4"/>
          <w:sz w:val="21"/>
          <w:szCs w:val="21"/>
        </w:rPr>
        <w:t>100%</w:t>
      </w:r>
      <w:r>
        <w:rPr>
          <w:rFonts w:hint="eastAsia" w:ascii="楷体" w:hAnsi="楷体" w:eastAsia="楷体"/>
          <w:kern w:val="4"/>
          <w:sz w:val="21"/>
          <w:szCs w:val="21"/>
        </w:rPr>
        <w:t>，溧水开启全新的“高铁时代”。</w:t>
      </w:r>
    </w:p>
    <w:p>
      <w:pPr>
        <w:spacing w:line="960" w:lineRule="exact"/>
        <w:ind w:firstLine="0" w:firstLineChars="0"/>
        <w:outlineLvl w:val="1"/>
        <w:rPr>
          <w:rFonts w:ascii="Times New Roman" w:hAnsi="Times New Roman" w:eastAsia="黑体"/>
          <w:kern w:val="4"/>
          <w:sz w:val="32"/>
          <w:szCs w:val="28"/>
        </w:rPr>
      </w:pPr>
      <w:bookmarkStart w:id="5" w:name="_Toc429487887"/>
      <w:bookmarkStart w:id="6" w:name="_Toc438123185"/>
      <w:r>
        <w:rPr>
          <w:rFonts w:ascii="Times New Roman" w:hAnsi="Times New Roman" w:eastAsia="黑体"/>
          <w:kern w:val="4"/>
          <w:sz w:val="32"/>
          <w:szCs w:val="28"/>
        </w:rPr>
        <w:t>1.2薄弱</w:t>
      </w:r>
      <w:bookmarkEnd w:id="5"/>
      <w:r>
        <w:rPr>
          <w:rFonts w:ascii="Times New Roman" w:hAnsi="Times New Roman" w:eastAsia="黑体"/>
          <w:kern w:val="4"/>
          <w:sz w:val="32"/>
          <w:szCs w:val="28"/>
        </w:rPr>
        <w:t>环节</w:t>
      </w:r>
      <w:bookmarkEnd w:id="6"/>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“十二五”期间，溧水交通</w:t>
      </w:r>
      <w:r>
        <w:rPr>
          <w:rFonts w:hint="eastAsia" w:ascii="Times New Roman" w:hAnsi="Times New Roman" w:eastAsia="仿宋_GB2312"/>
          <w:kern w:val="4"/>
          <w:sz w:val="30"/>
          <w:szCs w:val="30"/>
        </w:rPr>
        <w:t>运输</w:t>
      </w:r>
      <w:r>
        <w:rPr>
          <w:rFonts w:ascii="Times New Roman" w:hAnsi="Times New Roman" w:eastAsia="仿宋_GB2312"/>
          <w:kern w:val="4"/>
          <w:sz w:val="30"/>
          <w:szCs w:val="30"/>
        </w:rPr>
        <w:t>发展取得较</w:t>
      </w:r>
      <w:r>
        <w:rPr>
          <w:rFonts w:hint="eastAsia" w:ascii="Times New Roman" w:hAnsi="Times New Roman" w:eastAsia="仿宋_GB2312"/>
          <w:kern w:val="4"/>
          <w:sz w:val="30"/>
          <w:szCs w:val="30"/>
        </w:rPr>
        <w:t>大</w:t>
      </w:r>
      <w:r>
        <w:rPr>
          <w:rFonts w:ascii="Times New Roman" w:hAnsi="Times New Roman" w:eastAsia="仿宋_GB2312"/>
          <w:kern w:val="4"/>
          <w:sz w:val="30"/>
          <w:szCs w:val="30"/>
        </w:rPr>
        <w:t>成绩，但从构建综合交通运输体系和适应经济社会</w:t>
      </w:r>
      <w:r>
        <w:rPr>
          <w:rFonts w:hint="eastAsia" w:ascii="Times New Roman" w:hAnsi="Times New Roman" w:eastAsia="仿宋_GB2312"/>
          <w:kern w:val="4"/>
          <w:sz w:val="30"/>
          <w:szCs w:val="30"/>
        </w:rPr>
        <w:t>发展</w:t>
      </w:r>
      <w:r>
        <w:rPr>
          <w:rFonts w:ascii="Times New Roman" w:hAnsi="Times New Roman" w:eastAsia="仿宋_GB2312"/>
          <w:kern w:val="4"/>
          <w:sz w:val="30"/>
          <w:szCs w:val="30"/>
        </w:rPr>
        <w:t>新形势的要求来看，溧水交通运输仍存在一定的差距和不足。具体体现在以下六个方面：</w:t>
      </w:r>
    </w:p>
    <w:p>
      <w:pPr>
        <w:spacing w:line="560" w:lineRule="exact"/>
        <w:ind w:firstLine="420" w:firstLineChars="0"/>
        <w:outlineLvl w:val="3"/>
        <w:rPr>
          <w:rFonts w:ascii="Times New Roman" w:hAnsi="Times New Roman" w:eastAsia="楷体"/>
          <w:b/>
          <w:bCs/>
          <w:kern w:val="4"/>
          <w:sz w:val="30"/>
          <w:szCs w:val="30"/>
        </w:rPr>
      </w:pPr>
      <w:r>
        <w:rPr>
          <w:rFonts w:ascii="Times New Roman" w:hAnsi="Times New Roman" w:eastAsia="楷体"/>
          <w:b/>
          <w:bCs/>
          <w:kern w:val="4"/>
          <w:sz w:val="30"/>
          <w:szCs w:val="30"/>
        </w:rPr>
        <w:t>1、综合交通体系仍不完善</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随着产业结构转型的升级、人们生活水平的提高和新型城镇化进程的加快、溧水区客货出行需求将呈现多样化特征，仅仅加快公路交通基础设施建设的措施已经不能继续满足运输需求。溧水区现状公路、航道和铁路综合交通运输体系配套水平不高，对外交通区位优势未能充分发挥。主要体现在以下</w:t>
      </w:r>
      <w:r>
        <w:rPr>
          <w:rFonts w:hint="eastAsia" w:ascii="Times New Roman" w:hAnsi="Times New Roman" w:eastAsia="仿宋_GB2312"/>
          <w:kern w:val="4"/>
          <w:sz w:val="30"/>
          <w:szCs w:val="30"/>
        </w:rPr>
        <w:t>四</w:t>
      </w:r>
      <w:r>
        <w:rPr>
          <w:rFonts w:ascii="Times New Roman" w:hAnsi="Times New Roman" w:eastAsia="仿宋_GB2312"/>
          <w:kern w:val="4"/>
          <w:sz w:val="30"/>
          <w:szCs w:val="30"/>
        </w:rPr>
        <w:t>个方面：</w:t>
      </w:r>
      <w:r>
        <w:rPr>
          <w:rFonts w:ascii="Times New Roman" w:hAnsi="Times New Roman" w:eastAsia="仿宋_GB2312"/>
          <w:b/>
          <w:kern w:val="4"/>
          <w:sz w:val="30"/>
          <w:szCs w:val="30"/>
        </w:rPr>
        <w:t>一是公路网结构不尽合理。</w:t>
      </w:r>
      <w:r>
        <w:rPr>
          <w:rFonts w:ascii="Times New Roman" w:hAnsi="Times New Roman" w:eastAsia="仿宋_GB2312"/>
          <w:kern w:val="4"/>
          <w:sz w:val="30"/>
          <w:szCs w:val="30"/>
        </w:rPr>
        <w:t>境内干线公路网基本形成，总体规模尚可，布局较为合理，但是干线公路等级水平仍然不高。截至2015年底，溧水区二级及以上公里417.4公里</w:t>
      </w:r>
      <w:r>
        <w:rPr>
          <w:rFonts w:hint="eastAsia" w:ascii="Times New Roman" w:hAnsi="Times New Roman" w:eastAsia="仿宋_GB2312"/>
          <w:kern w:val="4"/>
          <w:sz w:val="30"/>
          <w:szCs w:val="30"/>
        </w:rPr>
        <w:t>，</w:t>
      </w:r>
      <w:r>
        <w:rPr>
          <w:rFonts w:ascii="Times New Roman" w:hAnsi="Times New Roman" w:eastAsia="仿宋_GB2312"/>
          <w:kern w:val="4"/>
          <w:sz w:val="30"/>
          <w:szCs w:val="30"/>
        </w:rPr>
        <w:t>二级及以上公路占比24.</w:t>
      </w:r>
      <w:r>
        <w:rPr>
          <w:rFonts w:hint="eastAsia" w:ascii="Times New Roman" w:hAnsi="Times New Roman" w:eastAsia="仿宋_GB2312"/>
          <w:kern w:val="4"/>
          <w:sz w:val="30"/>
          <w:szCs w:val="30"/>
        </w:rPr>
        <w:t>01</w:t>
      </w:r>
      <w:r>
        <w:rPr>
          <w:rFonts w:ascii="Times New Roman" w:hAnsi="Times New Roman" w:eastAsia="仿宋_GB2312"/>
          <w:kern w:val="4"/>
          <w:sz w:val="30"/>
          <w:szCs w:val="30"/>
        </w:rPr>
        <w:t>%，低于南京市26.72%和江苏省24.94%的平均水平。农村公路技术等级不高，尤其是城镇公交、镇村公交和校车等客运线路途经的乡村道路还存在较多单车道</w:t>
      </w:r>
      <w:r>
        <w:rPr>
          <w:rFonts w:hint="eastAsia" w:ascii="Times New Roman" w:hAnsi="Times New Roman" w:eastAsia="仿宋_GB2312"/>
          <w:kern w:val="4"/>
          <w:sz w:val="30"/>
          <w:szCs w:val="30"/>
        </w:rPr>
        <w:t>公</w:t>
      </w:r>
      <w:r>
        <w:rPr>
          <w:rFonts w:ascii="Times New Roman" w:hAnsi="Times New Roman" w:eastAsia="仿宋_GB2312"/>
          <w:kern w:val="4"/>
          <w:sz w:val="30"/>
          <w:szCs w:val="30"/>
        </w:rPr>
        <w:t>路，此外，农村公路危桥和安保设施建设不足，安全隐患依然存在。</w:t>
      </w:r>
      <w:r>
        <w:rPr>
          <w:rFonts w:ascii="Times New Roman" w:hAnsi="Times New Roman" w:eastAsia="仿宋_GB2312"/>
          <w:b/>
          <w:kern w:val="4"/>
          <w:sz w:val="30"/>
          <w:szCs w:val="30"/>
        </w:rPr>
        <w:t>二是高等级航道规模不足。</w:t>
      </w:r>
      <w:r>
        <w:rPr>
          <w:rFonts w:ascii="Times New Roman" w:hAnsi="Times New Roman" w:eastAsia="仿宋_GB2312"/>
          <w:kern w:val="4"/>
          <w:sz w:val="30"/>
          <w:szCs w:val="30"/>
        </w:rPr>
        <w:t>目前境内通航里程91.04公里</w:t>
      </w:r>
      <w:r>
        <w:rPr>
          <w:rFonts w:hint="eastAsia" w:ascii="Times New Roman" w:hAnsi="Times New Roman" w:eastAsia="仿宋_GB2312"/>
          <w:kern w:val="4"/>
          <w:sz w:val="30"/>
          <w:szCs w:val="30"/>
        </w:rPr>
        <w:t>，</w:t>
      </w:r>
      <w:r>
        <w:rPr>
          <w:rFonts w:ascii="Times New Roman" w:hAnsi="Times New Roman" w:eastAsia="仿宋_GB2312"/>
          <w:kern w:val="4"/>
          <w:sz w:val="30"/>
          <w:szCs w:val="30"/>
        </w:rPr>
        <w:t>等级航道仅占</w:t>
      </w:r>
      <w:r>
        <w:rPr>
          <w:rFonts w:hint="eastAsia" w:ascii="Times New Roman" w:hAnsi="Times New Roman" w:eastAsia="仿宋_GB2312"/>
          <w:kern w:val="4"/>
          <w:sz w:val="30"/>
          <w:szCs w:val="30"/>
        </w:rPr>
        <w:t>39.95</w:t>
      </w:r>
      <w:r>
        <w:rPr>
          <w:rFonts w:ascii="Times New Roman" w:hAnsi="Times New Roman" w:eastAsia="仿宋_GB2312"/>
          <w:kern w:val="4"/>
          <w:sz w:val="30"/>
          <w:szCs w:val="30"/>
        </w:rPr>
        <w:t>%；秦淮河航道整治工程正在实施，尚未全线建成，境内高等级航道规模不足，同时，码头等级规模较小、设备工艺落后、整体发展水平较低等，使得水运功能得不到充分发挥。</w:t>
      </w:r>
      <w:r>
        <w:rPr>
          <w:rFonts w:ascii="Times New Roman" w:hAnsi="Times New Roman" w:eastAsia="仿宋_GB2312"/>
          <w:b/>
          <w:kern w:val="4"/>
          <w:sz w:val="30"/>
          <w:szCs w:val="30"/>
        </w:rPr>
        <w:t>三是城际轨道尚未建成运营。</w:t>
      </w:r>
      <w:r>
        <w:rPr>
          <w:rFonts w:ascii="Times New Roman" w:hAnsi="Times New Roman" w:eastAsia="仿宋_GB2312"/>
          <w:kern w:val="4"/>
          <w:sz w:val="30"/>
          <w:szCs w:val="30"/>
        </w:rPr>
        <w:t>S1、S7两条城际轨道正在抓紧建设，预计十三五期间才能建成。</w:t>
      </w:r>
      <w:r>
        <w:rPr>
          <w:rFonts w:hint="eastAsia" w:ascii="Times New Roman" w:hAnsi="Times New Roman" w:eastAsia="仿宋_GB2312"/>
          <w:b/>
          <w:kern w:val="4"/>
          <w:sz w:val="30"/>
          <w:szCs w:val="30"/>
        </w:rPr>
        <w:t>四是综合</w:t>
      </w:r>
      <w:r>
        <w:rPr>
          <w:rFonts w:ascii="Times New Roman" w:hAnsi="Times New Roman" w:eastAsia="仿宋_GB2312"/>
          <w:b/>
          <w:kern w:val="4"/>
          <w:sz w:val="30"/>
          <w:szCs w:val="30"/>
        </w:rPr>
        <w:t>枢纽地位</w:t>
      </w:r>
      <w:r>
        <w:rPr>
          <w:rFonts w:hint="eastAsia" w:ascii="Times New Roman" w:hAnsi="Times New Roman" w:eastAsia="仿宋_GB2312"/>
          <w:b/>
          <w:kern w:val="4"/>
          <w:sz w:val="30"/>
          <w:szCs w:val="30"/>
        </w:rPr>
        <w:t>有待</w:t>
      </w:r>
      <w:r>
        <w:rPr>
          <w:rFonts w:ascii="Times New Roman" w:hAnsi="Times New Roman" w:eastAsia="仿宋_GB2312"/>
          <w:b/>
          <w:kern w:val="4"/>
          <w:sz w:val="30"/>
          <w:szCs w:val="30"/>
        </w:rPr>
        <w:t>提高</w:t>
      </w:r>
      <w:r>
        <w:rPr>
          <w:rFonts w:hint="eastAsia" w:ascii="Times New Roman" w:hAnsi="Times New Roman" w:eastAsia="仿宋_GB2312"/>
          <w:b/>
          <w:kern w:val="4"/>
          <w:sz w:val="30"/>
          <w:szCs w:val="30"/>
        </w:rPr>
        <w:t>。</w:t>
      </w:r>
      <w:r>
        <w:rPr>
          <w:rFonts w:hint="eastAsia" w:ascii="Times New Roman" w:hAnsi="Times New Roman" w:eastAsia="仿宋_GB2312"/>
          <w:kern w:val="4"/>
          <w:sz w:val="30"/>
          <w:szCs w:val="30"/>
        </w:rPr>
        <w:t>未来随着镇宣高铁经过溧水站建设，溧水应加快铁路综合综合枢纽建设。</w:t>
      </w:r>
    </w:p>
    <w:p>
      <w:pPr>
        <w:spacing w:beforeLines="50" w:line="560" w:lineRule="exact"/>
        <w:ind w:firstLine="600"/>
        <w:outlineLvl w:val="3"/>
        <w:rPr>
          <w:rFonts w:ascii="Times New Roman" w:hAnsi="Times New Roman" w:eastAsia="楷体"/>
          <w:b/>
          <w:bCs/>
          <w:kern w:val="4"/>
          <w:sz w:val="30"/>
          <w:szCs w:val="30"/>
        </w:rPr>
      </w:pPr>
      <w:r>
        <w:rPr>
          <w:rFonts w:ascii="Times New Roman" w:hAnsi="Times New Roman" w:eastAsia="楷体"/>
          <w:b/>
          <w:bCs/>
          <w:kern w:val="4"/>
          <w:sz w:val="30"/>
          <w:szCs w:val="30"/>
        </w:rPr>
        <w:t>2、客运服务水平有待提高</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交通运输是国民经济基础产业和先导性、服务性行业。随着时代的进步，社会各层面对提升公共交通服务水平的要求越来越高，对降低交通物流成本、增强区域竞争力的需求越来越迫切。</w:t>
      </w:r>
      <w:r>
        <w:rPr>
          <w:rFonts w:ascii="Times New Roman" w:hAnsi="Times New Roman" w:eastAsia="仿宋_GB2312"/>
          <w:b/>
          <w:kern w:val="4"/>
          <w:sz w:val="30"/>
          <w:szCs w:val="30"/>
        </w:rPr>
        <w:t>一是公交线路覆盖范围不足。</w:t>
      </w:r>
      <w:r>
        <w:rPr>
          <w:rFonts w:ascii="Times New Roman" w:hAnsi="Times New Roman" w:eastAsia="仿宋_GB2312"/>
          <w:kern w:val="4"/>
          <w:sz w:val="30"/>
          <w:szCs w:val="30"/>
        </w:rPr>
        <w:t>溧水区城市公交500米覆盖率仅为80%（推荐值为90%），覆盖率的不足，直接反映在城区外围尚有大量居住小区、工业园区等未覆盖。</w:t>
      </w:r>
      <w:r>
        <w:rPr>
          <w:rFonts w:ascii="Times New Roman" w:hAnsi="Times New Roman" w:eastAsia="仿宋_GB2312"/>
          <w:b/>
          <w:kern w:val="4"/>
          <w:sz w:val="30"/>
          <w:szCs w:val="30"/>
        </w:rPr>
        <w:t>二是城市公交分担率不足。</w:t>
      </w:r>
      <w:r>
        <w:rPr>
          <w:rFonts w:ascii="Times New Roman" w:hAnsi="Times New Roman" w:eastAsia="仿宋_GB2312"/>
          <w:kern w:val="4"/>
          <w:sz w:val="30"/>
          <w:szCs w:val="30"/>
        </w:rPr>
        <w:t>溧水区城市公交分担率仅为5%，远低于省政府18%的发展指标，说明公交作为通勤交通工具的竞争力不足。</w:t>
      </w:r>
      <w:r>
        <w:rPr>
          <w:rFonts w:ascii="Times New Roman" w:hAnsi="Times New Roman" w:eastAsia="仿宋_GB2312"/>
          <w:b/>
          <w:kern w:val="4"/>
          <w:sz w:val="30"/>
          <w:szCs w:val="30"/>
        </w:rPr>
        <w:t>三是城区公交场站设施较为简陋。</w:t>
      </w:r>
      <w:r>
        <w:rPr>
          <w:rFonts w:ascii="Times New Roman" w:hAnsi="Times New Roman" w:eastAsia="仿宋_GB2312"/>
          <w:kern w:val="4"/>
          <w:sz w:val="30"/>
          <w:szCs w:val="30"/>
        </w:rPr>
        <w:t>城区公交停车场1处，具有独立用地首末站缺乏，只有5个。中途点数量较少，且设施较为简陋。车均场站面积仅有65平方米/标台（推荐值为150-180平方米/标台），公交车进场率不足40%（推荐值为85-95%）。</w:t>
      </w:r>
      <w:r>
        <w:rPr>
          <w:rFonts w:hint="eastAsia" w:ascii="Times New Roman" w:hAnsi="Times New Roman" w:eastAsia="仿宋_GB2312"/>
          <w:b/>
          <w:kern w:val="4"/>
          <w:sz w:val="30"/>
          <w:szCs w:val="30"/>
        </w:rPr>
        <w:t>四</w:t>
      </w:r>
      <w:r>
        <w:rPr>
          <w:rFonts w:ascii="Times New Roman" w:hAnsi="Times New Roman" w:eastAsia="仿宋_GB2312"/>
          <w:b/>
          <w:kern w:val="4"/>
          <w:sz w:val="30"/>
          <w:szCs w:val="30"/>
        </w:rPr>
        <w:t>是农村客运站没有得到有效利用。</w:t>
      </w:r>
      <w:r>
        <w:rPr>
          <w:rFonts w:ascii="Times New Roman" w:hAnsi="Times New Roman" w:eastAsia="仿宋_GB2312"/>
          <w:kern w:val="4"/>
          <w:sz w:val="30"/>
          <w:szCs w:val="30"/>
        </w:rPr>
        <w:t>目前溧水区已经建成的洪蓝、晶桥、庙头、云鹤4个农村客运站，建设主体为镇政府，由于镇政府与客运公司在客运站的使用费用上存在较大分歧，部分农村客运站均为闲置状态，旅客和客运车辆无法进站。造成资源浪费和旅客乘车不便，需要相关部门进一步协调，尽快解决客运车辆进站问题，实现资源的充分利用。</w:t>
      </w:r>
    </w:p>
    <w:p>
      <w:pPr>
        <w:spacing w:line="440" w:lineRule="exact"/>
        <w:ind w:firstLine="0" w:firstLineChars="0"/>
        <w:jc w:val="center"/>
        <w:rPr>
          <w:rFonts w:ascii="Times New Roman" w:hAnsi="Times New Roman" w:eastAsia="黑体"/>
          <w:bCs/>
          <w:kern w:val="4"/>
          <w:sz w:val="24"/>
        </w:rPr>
      </w:pPr>
      <w:r>
        <w:rPr>
          <w:rFonts w:ascii="Times New Roman" w:hAnsi="Times New Roman" w:eastAsia="黑体"/>
          <w:bCs/>
          <w:kern w:val="4"/>
          <w:sz w:val="24"/>
        </w:rPr>
        <w:t>表1-5  溧水区城区公交发展指标一览表</w:t>
      </w:r>
    </w:p>
    <w:tbl>
      <w:tblPr>
        <w:tblStyle w:val="30"/>
        <w:tblW w:w="8505" w:type="dxa"/>
        <w:jc w:val="center"/>
        <w:tblBorders>
          <w:top w:val="double" w:color="auto" w:sz="4" w:space="0"/>
          <w:left w:val="double" w:color="auto" w:sz="4" w:space="0"/>
          <w:bottom w:val="double" w:color="auto" w:sz="4" w:space="0"/>
          <w:right w:val="double" w:color="auto" w:sz="4" w:space="0"/>
          <w:insideH w:val="single" w:color="000000" w:sz="8" w:space="0"/>
          <w:insideV w:val="single" w:color="000000" w:sz="8" w:space="0"/>
        </w:tblBorders>
        <w:tblLayout w:type="autofit"/>
        <w:tblCellMar>
          <w:top w:w="0" w:type="dxa"/>
          <w:left w:w="0" w:type="dxa"/>
          <w:bottom w:w="0" w:type="dxa"/>
          <w:right w:w="0" w:type="dxa"/>
        </w:tblCellMar>
      </w:tblPr>
      <w:tblGrid>
        <w:gridCol w:w="3545"/>
        <w:gridCol w:w="1419"/>
        <w:gridCol w:w="1983"/>
        <w:gridCol w:w="1558"/>
      </w:tblGrid>
      <w:tr>
        <w:tblPrEx>
          <w:tblBorders>
            <w:top w:val="double" w:color="auto" w:sz="4" w:space="0"/>
            <w:left w:val="double" w:color="auto" w:sz="4" w:space="0"/>
            <w:bottom w:val="double" w:color="auto" w:sz="4" w:space="0"/>
            <w:right w:val="double" w:color="auto" w:sz="4" w:space="0"/>
            <w:insideH w:val="single" w:color="000000" w:sz="8" w:space="0"/>
            <w:insideV w:val="single" w:color="000000" w:sz="8" w:space="0"/>
          </w:tblBorders>
          <w:tblCellMar>
            <w:top w:w="0" w:type="dxa"/>
            <w:left w:w="0" w:type="dxa"/>
            <w:bottom w:w="0" w:type="dxa"/>
            <w:right w:w="0" w:type="dxa"/>
          </w:tblCellMar>
        </w:tblPrEx>
        <w:trPr>
          <w:trHeight w:val="369" w:hRule="atLeast"/>
          <w:tblHeader/>
          <w:jc w:val="center"/>
        </w:trPr>
        <w:tc>
          <w:tcPr>
            <w:tcW w:w="2084" w:type="pct"/>
            <w:vAlign w:val="center"/>
          </w:tcPr>
          <w:p>
            <w:pPr>
              <w:ind w:firstLine="0" w:firstLineChars="0"/>
              <w:jc w:val="center"/>
              <w:rPr>
                <w:rFonts w:ascii="楷体" w:hAnsi="楷体" w:eastAsia="楷体"/>
                <w:b/>
                <w:snapToGrid w:val="0"/>
                <w:kern w:val="4"/>
                <w:sz w:val="21"/>
                <w:szCs w:val="21"/>
              </w:rPr>
            </w:pPr>
            <w:r>
              <w:rPr>
                <w:rFonts w:hint="eastAsia" w:ascii="楷体" w:hAnsi="楷体" w:eastAsia="楷体"/>
                <w:b/>
                <w:snapToGrid w:val="0"/>
                <w:kern w:val="4"/>
                <w:sz w:val="21"/>
                <w:szCs w:val="21"/>
              </w:rPr>
              <w:t>指标</w:t>
            </w:r>
          </w:p>
        </w:tc>
        <w:tc>
          <w:tcPr>
            <w:tcW w:w="834" w:type="pct"/>
            <w:vAlign w:val="center"/>
          </w:tcPr>
          <w:p>
            <w:pPr>
              <w:ind w:firstLine="0" w:firstLineChars="0"/>
              <w:jc w:val="center"/>
              <w:rPr>
                <w:rFonts w:ascii="楷体" w:hAnsi="楷体" w:eastAsia="楷体"/>
                <w:b/>
                <w:bCs/>
                <w:snapToGrid w:val="0"/>
                <w:kern w:val="4"/>
                <w:sz w:val="21"/>
                <w:szCs w:val="21"/>
              </w:rPr>
            </w:pPr>
            <w:r>
              <w:rPr>
                <w:rFonts w:hint="eastAsia" w:ascii="楷体" w:hAnsi="楷体" w:eastAsia="楷体"/>
                <w:b/>
                <w:bCs/>
                <w:snapToGrid w:val="0"/>
                <w:kern w:val="4"/>
                <w:sz w:val="21"/>
                <w:szCs w:val="21"/>
              </w:rPr>
              <w:t>溧水城区</w:t>
            </w:r>
          </w:p>
          <w:p>
            <w:pPr>
              <w:ind w:firstLine="0" w:firstLineChars="0"/>
              <w:jc w:val="center"/>
              <w:rPr>
                <w:rFonts w:ascii="楷体" w:hAnsi="楷体" w:eastAsia="楷体"/>
                <w:snapToGrid w:val="0"/>
                <w:kern w:val="4"/>
                <w:sz w:val="21"/>
                <w:szCs w:val="21"/>
              </w:rPr>
            </w:pPr>
            <w:r>
              <w:rPr>
                <w:rFonts w:hint="eastAsia" w:ascii="楷体" w:hAnsi="楷体" w:eastAsia="楷体"/>
                <w:b/>
                <w:bCs/>
                <w:snapToGrid w:val="0"/>
                <w:kern w:val="4"/>
                <w:sz w:val="21"/>
                <w:szCs w:val="21"/>
              </w:rPr>
              <w:t>现状</w:t>
            </w:r>
          </w:p>
        </w:tc>
        <w:tc>
          <w:tcPr>
            <w:tcW w:w="1166" w:type="pct"/>
            <w:tcMar>
              <w:top w:w="72" w:type="dxa"/>
              <w:left w:w="144" w:type="dxa"/>
              <w:bottom w:w="72" w:type="dxa"/>
              <w:right w:w="144" w:type="dxa"/>
            </w:tcMar>
            <w:vAlign w:val="center"/>
          </w:tcPr>
          <w:p>
            <w:pPr>
              <w:ind w:firstLine="0" w:firstLineChars="0"/>
              <w:jc w:val="center"/>
              <w:rPr>
                <w:rFonts w:ascii="楷体" w:hAnsi="楷体" w:eastAsia="楷体"/>
                <w:b/>
                <w:bCs/>
                <w:snapToGrid w:val="0"/>
                <w:kern w:val="4"/>
                <w:sz w:val="21"/>
                <w:szCs w:val="21"/>
              </w:rPr>
            </w:pPr>
            <w:r>
              <w:rPr>
                <w:rFonts w:hint="eastAsia" w:ascii="楷体" w:hAnsi="楷体" w:eastAsia="楷体"/>
                <w:b/>
                <w:bCs/>
                <w:snapToGrid w:val="0"/>
                <w:kern w:val="4"/>
                <w:sz w:val="21"/>
                <w:szCs w:val="21"/>
              </w:rPr>
              <w:t>2015年</w:t>
            </w:r>
          </w:p>
          <w:p>
            <w:pPr>
              <w:ind w:firstLine="0" w:firstLineChars="0"/>
              <w:jc w:val="center"/>
              <w:rPr>
                <w:rFonts w:ascii="楷体" w:hAnsi="楷体" w:eastAsia="楷体"/>
                <w:snapToGrid w:val="0"/>
                <w:kern w:val="4"/>
                <w:sz w:val="21"/>
                <w:szCs w:val="21"/>
              </w:rPr>
            </w:pPr>
            <w:r>
              <w:rPr>
                <w:rFonts w:hint="eastAsia" w:ascii="楷体" w:hAnsi="楷体" w:eastAsia="楷体"/>
                <w:b/>
                <w:bCs/>
                <w:snapToGrid w:val="0"/>
                <w:kern w:val="4"/>
                <w:sz w:val="21"/>
                <w:szCs w:val="21"/>
              </w:rPr>
              <w:t>省政府指标</w:t>
            </w:r>
          </w:p>
        </w:tc>
        <w:tc>
          <w:tcPr>
            <w:tcW w:w="916" w:type="pct"/>
            <w:tcMar>
              <w:top w:w="72" w:type="dxa"/>
              <w:left w:w="144" w:type="dxa"/>
              <w:bottom w:w="72" w:type="dxa"/>
              <w:right w:w="144" w:type="dxa"/>
            </w:tcMar>
            <w:vAlign w:val="center"/>
          </w:tcPr>
          <w:p>
            <w:pPr>
              <w:ind w:firstLine="0" w:firstLineChars="0"/>
              <w:jc w:val="center"/>
              <w:rPr>
                <w:rFonts w:ascii="楷体" w:hAnsi="楷体" w:eastAsia="楷体"/>
                <w:b/>
                <w:bCs/>
                <w:snapToGrid w:val="0"/>
                <w:kern w:val="4"/>
                <w:sz w:val="21"/>
                <w:szCs w:val="21"/>
              </w:rPr>
            </w:pPr>
            <w:r>
              <w:rPr>
                <w:rFonts w:hint="eastAsia" w:ascii="楷体" w:hAnsi="楷体" w:eastAsia="楷体"/>
                <w:b/>
                <w:bCs/>
                <w:snapToGrid w:val="0"/>
                <w:kern w:val="4"/>
                <w:sz w:val="21"/>
                <w:szCs w:val="21"/>
              </w:rPr>
              <w:t>2020年</w:t>
            </w:r>
          </w:p>
          <w:p>
            <w:pPr>
              <w:ind w:firstLine="0" w:firstLineChars="0"/>
              <w:jc w:val="center"/>
              <w:rPr>
                <w:rFonts w:ascii="楷体" w:hAnsi="楷体" w:eastAsia="楷体"/>
                <w:snapToGrid w:val="0"/>
                <w:kern w:val="4"/>
                <w:sz w:val="21"/>
                <w:szCs w:val="21"/>
              </w:rPr>
            </w:pPr>
            <w:r>
              <w:rPr>
                <w:rFonts w:hint="eastAsia" w:ascii="楷体" w:hAnsi="楷体" w:eastAsia="楷体"/>
                <w:b/>
                <w:bCs/>
                <w:snapToGrid w:val="0"/>
                <w:kern w:val="4"/>
                <w:sz w:val="21"/>
                <w:szCs w:val="21"/>
              </w:rPr>
              <w:t>省政府指标</w:t>
            </w:r>
          </w:p>
        </w:tc>
      </w:tr>
      <w:tr>
        <w:tblPrEx>
          <w:tblBorders>
            <w:top w:val="double" w:color="auto" w:sz="4" w:space="0"/>
            <w:left w:val="double" w:color="auto" w:sz="4" w:space="0"/>
            <w:bottom w:val="double" w:color="auto" w:sz="4" w:space="0"/>
            <w:right w:val="double" w:color="auto" w:sz="4" w:space="0"/>
            <w:insideH w:val="single" w:color="000000" w:sz="8" w:space="0"/>
            <w:insideV w:val="single" w:color="000000" w:sz="8" w:space="0"/>
          </w:tblBorders>
          <w:tblCellMar>
            <w:top w:w="0" w:type="dxa"/>
            <w:left w:w="0" w:type="dxa"/>
            <w:bottom w:w="0" w:type="dxa"/>
            <w:right w:w="0" w:type="dxa"/>
          </w:tblCellMar>
        </w:tblPrEx>
        <w:trPr>
          <w:trHeight w:val="369" w:hRule="atLeast"/>
          <w:jc w:val="center"/>
        </w:trPr>
        <w:tc>
          <w:tcPr>
            <w:tcW w:w="2084" w:type="pct"/>
            <w:vAlign w:val="center"/>
          </w:tcPr>
          <w:p>
            <w:pPr>
              <w:spacing w:line="360" w:lineRule="exact"/>
              <w:ind w:firstLine="0" w:firstLineChars="0"/>
              <w:jc w:val="center"/>
              <w:rPr>
                <w:rFonts w:ascii="楷体" w:hAnsi="楷体" w:eastAsia="楷体"/>
                <w:snapToGrid w:val="0"/>
                <w:kern w:val="4"/>
                <w:sz w:val="21"/>
                <w:szCs w:val="21"/>
              </w:rPr>
            </w:pPr>
            <w:r>
              <w:rPr>
                <w:rFonts w:hint="eastAsia" w:ascii="楷体" w:hAnsi="楷体" w:eastAsia="楷体"/>
                <w:snapToGrid w:val="0"/>
                <w:kern w:val="4"/>
                <w:sz w:val="21"/>
                <w:szCs w:val="21"/>
              </w:rPr>
              <w:t>万人公交车辆（标台）</w:t>
            </w:r>
          </w:p>
        </w:tc>
        <w:tc>
          <w:tcPr>
            <w:tcW w:w="834" w:type="pct"/>
            <w:vAlign w:val="center"/>
          </w:tcPr>
          <w:p>
            <w:pPr>
              <w:spacing w:line="360" w:lineRule="exact"/>
              <w:ind w:firstLine="0" w:firstLineChars="0"/>
              <w:jc w:val="center"/>
              <w:rPr>
                <w:rFonts w:ascii="楷体" w:hAnsi="楷体" w:eastAsia="楷体"/>
                <w:snapToGrid w:val="0"/>
                <w:kern w:val="4"/>
                <w:sz w:val="21"/>
                <w:szCs w:val="21"/>
              </w:rPr>
            </w:pPr>
            <w:r>
              <w:rPr>
                <w:rFonts w:ascii="楷体" w:hAnsi="楷体" w:eastAsia="楷体"/>
                <w:snapToGrid w:val="0"/>
                <w:kern w:val="4"/>
                <w:sz w:val="21"/>
                <w:szCs w:val="21"/>
              </w:rPr>
              <w:t>8.25</w:t>
            </w:r>
          </w:p>
        </w:tc>
        <w:tc>
          <w:tcPr>
            <w:tcW w:w="1166" w:type="pct"/>
            <w:tcMar>
              <w:top w:w="72" w:type="dxa"/>
              <w:left w:w="144" w:type="dxa"/>
              <w:bottom w:w="72" w:type="dxa"/>
              <w:right w:w="144" w:type="dxa"/>
            </w:tcMar>
            <w:vAlign w:val="center"/>
          </w:tcPr>
          <w:p>
            <w:pPr>
              <w:spacing w:line="360" w:lineRule="exact"/>
              <w:ind w:firstLine="0" w:firstLineChars="0"/>
              <w:jc w:val="center"/>
              <w:rPr>
                <w:rFonts w:ascii="楷体" w:hAnsi="楷体" w:eastAsia="楷体"/>
                <w:snapToGrid w:val="0"/>
                <w:kern w:val="4"/>
                <w:sz w:val="21"/>
                <w:szCs w:val="21"/>
              </w:rPr>
            </w:pPr>
            <w:r>
              <w:rPr>
                <w:rFonts w:hint="eastAsia" w:ascii="楷体" w:hAnsi="楷体" w:eastAsia="楷体"/>
                <w:snapToGrid w:val="0"/>
                <w:kern w:val="4"/>
                <w:sz w:val="21"/>
                <w:szCs w:val="21"/>
              </w:rPr>
              <w:t>≥10</w:t>
            </w:r>
          </w:p>
        </w:tc>
        <w:tc>
          <w:tcPr>
            <w:tcW w:w="916" w:type="pct"/>
            <w:tcMar>
              <w:top w:w="72" w:type="dxa"/>
              <w:left w:w="144" w:type="dxa"/>
              <w:bottom w:w="72" w:type="dxa"/>
              <w:right w:w="144" w:type="dxa"/>
            </w:tcMar>
            <w:vAlign w:val="center"/>
          </w:tcPr>
          <w:p>
            <w:pPr>
              <w:spacing w:line="360" w:lineRule="exact"/>
              <w:ind w:firstLine="0" w:firstLineChars="0"/>
              <w:jc w:val="center"/>
              <w:rPr>
                <w:rFonts w:ascii="楷体" w:hAnsi="楷体" w:eastAsia="楷体"/>
                <w:snapToGrid w:val="0"/>
                <w:kern w:val="4"/>
                <w:sz w:val="21"/>
                <w:szCs w:val="21"/>
              </w:rPr>
            </w:pPr>
            <w:r>
              <w:rPr>
                <w:rFonts w:hint="eastAsia" w:ascii="楷体" w:hAnsi="楷体" w:eastAsia="楷体"/>
                <w:snapToGrid w:val="0"/>
                <w:kern w:val="4"/>
                <w:sz w:val="21"/>
                <w:szCs w:val="21"/>
              </w:rPr>
              <w:t>≥11</w:t>
            </w:r>
          </w:p>
        </w:tc>
      </w:tr>
      <w:tr>
        <w:tblPrEx>
          <w:tblBorders>
            <w:top w:val="double" w:color="auto" w:sz="4" w:space="0"/>
            <w:left w:val="double" w:color="auto" w:sz="4" w:space="0"/>
            <w:bottom w:val="double" w:color="auto" w:sz="4" w:space="0"/>
            <w:right w:val="double" w:color="auto" w:sz="4" w:space="0"/>
            <w:insideH w:val="single" w:color="000000" w:sz="8" w:space="0"/>
            <w:insideV w:val="single" w:color="000000" w:sz="8" w:space="0"/>
          </w:tblBorders>
          <w:tblCellMar>
            <w:top w:w="0" w:type="dxa"/>
            <w:left w:w="0" w:type="dxa"/>
            <w:bottom w:w="0" w:type="dxa"/>
            <w:right w:w="0" w:type="dxa"/>
          </w:tblCellMar>
        </w:tblPrEx>
        <w:trPr>
          <w:trHeight w:val="369" w:hRule="atLeast"/>
          <w:jc w:val="center"/>
        </w:trPr>
        <w:tc>
          <w:tcPr>
            <w:tcW w:w="2084" w:type="pct"/>
            <w:vAlign w:val="center"/>
          </w:tcPr>
          <w:p>
            <w:pPr>
              <w:spacing w:line="360" w:lineRule="exact"/>
              <w:ind w:firstLine="0" w:firstLineChars="0"/>
              <w:jc w:val="center"/>
              <w:rPr>
                <w:rFonts w:ascii="楷体" w:hAnsi="楷体" w:eastAsia="楷体"/>
                <w:snapToGrid w:val="0"/>
                <w:kern w:val="4"/>
                <w:sz w:val="21"/>
                <w:szCs w:val="21"/>
              </w:rPr>
            </w:pPr>
            <w:r>
              <w:rPr>
                <w:rFonts w:hint="eastAsia" w:ascii="楷体" w:hAnsi="楷体" w:eastAsia="楷体"/>
                <w:snapToGrid w:val="0"/>
                <w:kern w:val="4"/>
                <w:sz w:val="21"/>
                <w:szCs w:val="21"/>
              </w:rPr>
              <w:t>公交站点500米覆盖率（%）</w:t>
            </w:r>
          </w:p>
        </w:tc>
        <w:tc>
          <w:tcPr>
            <w:tcW w:w="834" w:type="pct"/>
            <w:vAlign w:val="center"/>
          </w:tcPr>
          <w:p>
            <w:pPr>
              <w:spacing w:line="360" w:lineRule="exact"/>
              <w:ind w:firstLine="0" w:firstLineChars="0"/>
              <w:jc w:val="center"/>
              <w:rPr>
                <w:rFonts w:ascii="楷体" w:hAnsi="楷体" w:eastAsia="楷体"/>
                <w:snapToGrid w:val="0"/>
                <w:kern w:val="4"/>
                <w:sz w:val="21"/>
                <w:szCs w:val="21"/>
              </w:rPr>
            </w:pPr>
            <w:r>
              <w:rPr>
                <w:rFonts w:ascii="楷体" w:hAnsi="楷体" w:eastAsia="楷体"/>
                <w:snapToGrid w:val="0"/>
                <w:kern w:val="4"/>
                <w:sz w:val="21"/>
                <w:szCs w:val="21"/>
              </w:rPr>
              <w:t>80</w:t>
            </w:r>
          </w:p>
        </w:tc>
        <w:tc>
          <w:tcPr>
            <w:tcW w:w="1166" w:type="pct"/>
            <w:tcMar>
              <w:top w:w="72" w:type="dxa"/>
              <w:left w:w="144" w:type="dxa"/>
              <w:bottom w:w="72" w:type="dxa"/>
              <w:right w:w="144" w:type="dxa"/>
            </w:tcMar>
            <w:vAlign w:val="center"/>
          </w:tcPr>
          <w:p>
            <w:pPr>
              <w:spacing w:line="360" w:lineRule="exact"/>
              <w:ind w:firstLine="0" w:firstLineChars="0"/>
              <w:jc w:val="center"/>
              <w:rPr>
                <w:rFonts w:ascii="楷体" w:hAnsi="楷体" w:eastAsia="楷体"/>
                <w:snapToGrid w:val="0"/>
                <w:kern w:val="4"/>
                <w:sz w:val="21"/>
                <w:szCs w:val="21"/>
              </w:rPr>
            </w:pPr>
            <w:r>
              <w:rPr>
                <w:rFonts w:hint="eastAsia" w:ascii="楷体" w:hAnsi="楷体" w:eastAsia="楷体"/>
                <w:snapToGrid w:val="0"/>
                <w:kern w:val="4"/>
                <w:sz w:val="21"/>
                <w:szCs w:val="21"/>
              </w:rPr>
              <w:t>≥85</w:t>
            </w:r>
          </w:p>
        </w:tc>
        <w:tc>
          <w:tcPr>
            <w:tcW w:w="916" w:type="pct"/>
            <w:tcMar>
              <w:top w:w="72" w:type="dxa"/>
              <w:left w:w="144" w:type="dxa"/>
              <w:bottom w:w="72" w:type="dxa"/>
              <w:right w:w="144" w:type="dxa"/>
            </w:tcMar>
            <w:vAlign w:val="center"/>
          </w:tcPr>
          <w:p>
            <w:pPr>
              <w:spacing w:line="360" w:lineRule="exact"/>
              <w:ind w:firstLine="0" w:firstLineChars="0"/>
              <w:jc w:val="center"/>
              <w:rPr>
                <w:rFonts w:ascii="楷体" w:hAnsi="楷体" w:eastAsia="楷体"/>
                <w:snapToGrid w:val="0"/>
                <w:kern w:val="4"/>
                <w:sz w:val="21"/>
                <w:szCs w:val="21"/>
              </w:rPr>
            </w:pPr>
            <w:r>
              <w:rPr>
                <w:rFonts w:hint="eastAsia" w:ascii="楷体" w:hAnsi="楷体" w:eastAsia="楷体"/>
                <w:snapToGrid w:val="0"/>
                <w:kern w:val="4"/>
                <w:sz w:val="21"/>
                <w:szCs w:val="21"/>
              </w:rPr>
              <w:t>≥95</w:t>
            </w:r>
          </w:p>
        </w:tc>
      </w:tr>
      <w:tr>
        <w:tblPrEx>
          <w:tblBorders>
            <w:top w:val="double" w:color="auto" w:sz="4" w:space="0"/>
            <w:left w:val="double" w:color="auto" w:sz="4" w:space="0"/>
            <w:bottom w:val="double" w:color="auto" w:sz="4" w:space="0"/>
            <w:right w:val="double" w:color="auto" w:sz="4" w:space="0"/>
            <w:insideH w:val="single" w:color="000000" w:sz="8" w:space="0"/>
            <w:insideV w:val="single" w:color="000000" w:sz="8" w:space="0"/>
          </w:tblBorders>
          <w:tblCellMar>
            <w:top w:w="0" w:type="dxa"/>
            <w:left w:w="0" w:type="dxa"/>
            <w:bottom w:w="0" w:type="dxa"/>
            <w:right w:w="0" w:type="dxa"/>
          </w:tblCellMar>
        </w:tblPrEx>
        <w:trPr>
          <w:trHeight w:val="369" w:hRule="atLeast"/>
          <w:jc w:val="center"/>
        </w:trPr>
        <w:tc>
          <w:tcPr>
            <w:tcW w:w="2084" w:type="pct"/>
            <w:vAlign w:val="center"/>
          </w:tcPr>
          <w:p>
            <w:pPr>
              <w:spacing w:line="360" w:lineRule="exact"/>
              <w:ind w:firstLine="0" w:firstLineChars="0"/>
              <w:jc w:val="center"/>
              <w:rPr>
                <w:rFonts w:ascii="楷体" w:hAnsi="楷体" w:eastAsia="楷体"/>
                <w:snapToGrid w:val="0"/>
                <w:kern w:val="4"/>
                <w:sz w:val="21"/>
                <w:szCs w:val="21"/>
              </w:rPr>
            </w:pPr>
            <w:r>
              <w:rPr>
                <w:rFonts w:hint="eastAsia" w:ascii="楷体" w:hAnsi="楷体" w:eastAsia="楷体"/>
                <w:snapToGrid w:val="0"/>
                <w:kern w:val="4"/>
                <w:sz w:val="21"/>
                <w:szCs w:val="21"/>
              </w:rPr>
              <w:t>公共交通出行分担率（%）</w:t>
            </w:r>
          </w:p>
        </w:tc>
        <w:tc>
          <w:tcPr>
            <w:tcW w:w="834" w:type="pct"/>
            <w:vAlign w:val="center"/>
          </w:tcPr>
          <w:p>
            <w:pPr>
              <w:spacing w:line="360" w:lineRule="exact"/>
              <w:ind w:firstLine="0" w:firstLineChars="0"/>
              <w:jc w:val="center"/>
              <w:rPr>
                <w:rFonts w:ascii="楷体" w:hAnsi="楷体" w:eastAsia="楷体"/>
                <w:snapToGrid w:val="0"/>
                <w:kern w:val="4"/>
                <w:sz w:val="21"/>
                <w:szCs w:val="21"/>
              </w:rPr>
            </w:pPr>
            <w:r>
              <w:rPr>
                <w:rFonts w:ascii="楷体" w:hAnsi="楷体" w:eastAsia="楷体"/>
                <w:snapToGrid w:val="0"/>
                <w:kern w:val="4"/>
                <w:sz w:val="21"/>
                <w:szCs w:val="21"/>
              </w:rPr>
              <w:t>5.0</w:t>
            </w:r>
          </w:p>
        </w:tc>
        <w:tc>
          <w:tcPr>
            <w:tcW w:w="1166" w:type="pct"/>
            <w:tcMar>
              <w:top w:w="72" w:type="dxa"/>
              <w:left w:w="144" w:type="dxa"/>
              <w:bottom w:w="72" w:type="dxa"/>
              <w:right w:w="144" w:type="dxa"/>
            </w:tcMar>
            <w:vAlign w:val="center"/>
          </w:tcPr>
          <w:p>
            <w:pPr>
              <w:spacing w:line="360" w:lineRule="exact"/>
              <w:ind w:firstLine="0" w:firstLineChars="0"/>
              <w:jc w:val="center"/>
              <w:rPr>
                <w:rFonts w:ascii="楷体" w:hAnsi="楷体" w:eastAsia="楷体"/>
                <w:snapToGrid w:val="0"/>
                <w:kern w:val="4"/>
                <w:sz w:val="21"/>
                <w:szCs w:val="21"/>
              </w:rPr>
            </w:pPr>
            <w:r>
              <w:rPr>
                <w:rFonts w:ascii="楷体" w:hAnsi="楷体" w:eastAsia="楷体"/>
                <w:snapToGrid w:val="0"/>
                <w:kern w:val="4"/>
                <w:sz w:val="21"/>
                <w:szCs w:val="21"/>
              </w:rPr>
              <w:t>14</w:t>
            </w:r>
          </w:p>
        </w:tc>
        <w:tc>
          <w:tcPr>
            <w:tcW w:w="916" w:type="pct"/>
            <w:tcMar>
              <w:top w:w="72" w:type="dxa"/>
              <w:left w:w="144" w:type="dxa"/>
              <w:bottom w:w="72" w:type="dxa"/>
              <w:right w:w="144" w:type="dxa"/>
            </w:tcMar>
            <w:vAlign w:val="center"/>
          </w:tcPr>
          <w:p>
            <w:pPr>
              <w:spacing w:line="360" w:lineRule="exact"/>
              <w:ind w:firstLine="0" w:firstLineChars="0"/>
              <w:jc w:val="center"/>
              <w:rPr>
                <w:rFonts w:ascii="楷体" w:hAnsi="楷体" w:eastAsia="楷体"/>
                <w:snapToGrid w:val="0"/>
                <w:kern w:val="4"/>
                <w:sz w:val="21"/>
                <w:szCs w:val="21"/>
              </w:rPr>
            </w:pPr>
            <w:r>
              <w:rPr>
                <w:rFonts w:ascii="楷体" w:hAnsi="楷体" w:eastAsia="楷体"/>
                <w:snapToGrid w:val="0"/>
                <w:kern w:val="4"/>
                <w:sz w:val="21"/>
                <w:szCs w:val="21"/>
              </w:rPr>
              <w:t>18</w:t>
            </w:r>
          </w:p>
        </w:tc>
      </w:tr>
      <w:tr>
        <w:tblPrEx>
          <w:tblBorders>
            <w:top w:val="double" w:color="auto" w:sz="4" w:space="0"/>
            <w:left w:val="double" w:color="auto" w:sz="4" w:space="0"/>
            <w:bottom w:val="double" w:color="auto" w:sz="4" w:space="0"/>
            <w:right w:val="double" w:color="auto" w:sz="4" w:space="0"/>
            <w:insideH w:val="single" w:color="000000" w:sz="8" w:space="0"/>
            <w:insideV w:val="single" w:color="000000" w:sz="8" w:space="0"/>
          </w:tblBorders>
          <w:tblCellMar>
            <w:top w:w="0" w:type="dxa"/>
            <w:left w:w="0" w:type="dxa"/>
            <w:bottom w:w="0" w:type="dxa"/>
            <w:right w:w="0" w:type="dxa"/>
          </w:tblCellMar>
        </w:tblPrEx>
        <w:trPr>
          <w:trHeight w:val="369" w:hRule="atLeast"/>
          <w:jc w:val="center"/>
        </w:trPr>
        <w:tc>
          <w:tcPr>
            <w:tcW w:w="2084" w:type="pct"/>
            <w:vAlign w:val="center"/>
          </w:tcPr>
          <w:p>
            <w:pPr>
              <w:spacing w:line="360" w:lineRule="exact"/>
              <w:ind w:firstLine="0" w:firstLineChars="0"/>
              <w:jc w:val="center"/>
              <w:rPr>
                <w:rFonts w:ascii="楷体" w:hAnsi="楷体" w:eastAsia="楷体"/>
                <w:snapToGrid w:val="0"/>
                <w:kern w:val="4"/>
                <w:sz w:val="21"/>
                <w:szCs w:val="21"/>
              </w:rPr>
            </w:pPr>
            <w:r>
              <w:rPr>
                <w:rFonts w:hint="eastAsia" w:ascii="楷体" w:hAnsi="楷体" w:eastAsia="楷体"/>
                <w:snapToGrid w:val="0"/>
                <w:kern w:val="4"/>
                <w:sz w:val="21"/>
                <w:szCs w:val="21"/>
              </w:rPr>
              <w:t>公共交通占机动化出行比例（%）</w:t>
            </w:r>
          </w:p>
        </w:tc>
        <w:tc>
          <w:tcPr>
            <w:tcW w:w="834" w:type="pct"/>
            <w:vAlign w:val="center"/>
          </w:tcPr>
          <w:p>
            <w:pPr>
              <w:spacing w:line="360" w:lineRule="exact"/>
              <w:ind w:firstLine="0" w:firstLineChars="0"/>
              <w:jc w:val="center"/>
              <w:rPr>
                <w:rFonts w:ascii="楷体" w:hAnsi="楷体" w:eastAsia="楷体"/>
                <w:snapToGrid w:val="0"/>
                <w:kern w:val="4"/>
                <w:sz w:val="21"/>
                <w:szCs w:val="21"/>
              </w:rPr>
            </w:pPr>
            <w:r>
              <w:rPr>
                <w:rFonts w:ascii="楷体" w:hAnsi="楷体" w:eastAsia="楷体"/>
                <w:snapToGrid w:val="0"/>
                <w:kern w:val="4"/>
                <w:sz w:val="21"/>
                <w:szCs w:val="21"/>
              </w:rPr>
              <w:t>13.0</w:t>
            </w:r>
          </w:p>
        </w:tc>
        <w:tc>
          <w:tcPr>
            <w:tcW w:w="1166" w:type="pct"/>
            <w:tcMar>
              <w:top w:w="72" w:type="dxa"/>
              <w:left w:w="144" w:type="dxa"/>
              <w:bottom w:w="72" w:type="dxa"/>
              <w:right w:w="144" w:type="dxa"/>
            </w:tcMar>
            <w:vAlign w:val="center"/>
          </w:tcPr>
          <w:p>
            <w:pPr>
              <w:spacing w:line="360" w:lineRule="exact"/>
              <w:ind w:firstLine="0" w:firstLineChars="0"/>
              <w:jc w:val="center"/>
              <w:rPr>
                <w:rFonts w:ascii="楷体" w:hAnsi="楷体" w:eastAsia="楷体"/>
                <w:snapToGrid w:val="0"/>
                <w:kern w:val="4"/>
                <w:sz w:val="21"/>
                <w:szCs w:val="21"/>
              </w:rPr>
            </w:pPr>
            <w:r>
              <w:rPr>
                <w:rFonts w:ascii="楷体" w:hAnsi="楷体" w:eastAsia="楷体"/>
                <w:snapToGrid w:val="0"/>
                <w:kern w:val="4"/>
                <w:sz w:val="21"/>
                <w:szCs w:val="21"/>
              </w:rPr>
              <w:t>45</w:t>
            </w:r>
          </w:p>
        </w:tc>
        <w:tc>
          <w:tcPr>
            <w:tcW w:w="916" w:type="pct"/>
            <w:tcMar>
              <w:top w:w="72" w:type="dxa"/>
              <w:left w:w="144" w:type="dxa"/>
              <w:bottom w:w="72" w:type="dxa"/>
              <w:right w:w="144" w:type="dxa"/>
            </w:tcMar>
            <w:vAlign w:val="center"/>
          </w:tcPr>
          <w:p>
            <w:pPr>
              <w:spacing w:line="360" w:lineRule="exact"/>
              <w:ind w:firstLine="0" w:firstLineChars="0"/>
              <w:jc w:val="center"/>
              <w:rPr>
                <w:rFonts w:ascii="楷体" w:hAnsi="楷体" w:eastAsia="楷体"/>
                <w:snapToGrid w:val="0"/>
                <w:kern w:val="4"/>
                <w:sz w:val="21"/>
                <w:szCs w:val="21"/>
              </w:rPr>
            </w:pPr>
            <w:r>
              <w:rPr>
                <w:rFonts w:ascii="楷体" w:hAnsi="楷体" w:eastAsia="楷体"/>
                <w:snapToGrid w:val="0"/>
                <w:kern w:val="4"/>
                <w:sz w:val="21"/>
                <w:szCs w:val="21"/>
              </w:rPr>
              <w:t>50</w:t>
            </w:r>
          </w:p>
        </w:tc>
      </w:tr>
      <w:tr>
        <w:tblPrEx>
          <w:tblBorders>
            <w:top w:val="double" w:color="auto" w:sz="4" w:space="0"/>
            <w:left w:val="double" w:color="auto" w:sz="4" w:space="0"/>
            <w:bottom w:val="double" w:color="auto" w:sz="4" w:space="0"/>
            <w:right w:val="double" w:color="auto" w:sz="4" w:space="0"/>
            <w:insideH w:val="single" w:color="000000" w:sz="8" w:space="0"/>
            <w:insideV w:val="single" w:color="000000" w:sz="8" w:space="0"/>
          </w:tblBorders>
          <w:tblCellMar>
            <w:top w:w="0" w:type="dxa"/>
            <w:left w:w="0" w:type="dxa"/>
            <w:bottom w:w="0" w:type="dxa"/>
            <w:right w:w="0" w:type="dxa"/>
          </w:tblCellMar>
        </w:tblPrEx>
        <w:trPr>
          <w:trHeight w:val="369" w:hRule="atLeast"/>
          <w:jc w:val="center"/>
        </w:trPr>
        <w:tc>
          <w:tcPr>
            <w:tcW w:w="2084" w:type="pct"/>
            <w:vAlign w:val="center"/>
          </w:tcPr>
          <w:p>
            <w:pPr>
              <w:spacing w:line="360" w:lineRule="exact"/>
              <w:ind w:firstLine="0" w:firstLineChars="0"/>
              <w:jc w:val="center"/>
              <w:rPr>
                <w:rFonts w:ascii="楷体" w:hAnsi="楷体" w:eastAsia="楷体"/>
                <w:snapToGrid w:val="0"/>
                <w:kern w:val="4"/>
                <w:sz w:val="21"/>
                <w:szCs w:val="21"/>
              </w:rPr>
            </w:pPr>
            <w:r>
              <w:rPr>
                <w:rFonts w:hint="eastAsia" w:ascii="楷体" w:hAnsi="楷体" w:eastAsia="楷体"/>
                <w:snapToGrid w:val="0"/>
                <w:kern w:val="4"/>
                <w:sz w:val="21"/>
                <w:szCs w:val="21"/>
              </w:rPr>
              <w:t>公共汽电车进场率（%）</w:t>
            </w:r>
          </w:p>
        </w:tc>
        <w:tc>
          <w:tcPr>
            <w:tcW w:w="834" w:type="pct"/>
            <w:vAlign w:val="center"/>
          </w:tcPr>
          <w:p>
            <w:pPr>
              <w:spacing w:line="360" w:lineRule="exact"/>
              <w:ind w:firstLine="0" w:firstLineChars="0"/>
              <w:jc w:val="center"/>
              <w:rPr>
                <w:rFonts w:ascii="楷体" w:hAnsi="楷体" w:eastAsia="楷体"/>
                <w:snapToGrid w:val="0"/>
                <w:kern w:val="4"/>
                <w:sz w:val="21"/>
                <w:szCs w:val="21"/>
              </w:rPr>
            </w:pPr>
            <w:r>
              <w:rPr>
                <w:rFonts w:ascii="楷体" w:hAnsi="楷体" w:eastAsia="楷体"/>
                <w:snapToGrid w:val="0"/>
                <w:kern w:val="4"/>
                <w:sz w:val="21"/>
                <w:szCs w:val="21"/>
              </w:rPr>
              <w:t>36</w:t>
            </w:r>
          </w:p>
        </w:tc>
        <w:tc>
          <w:tcPr>
            <w:tcW w:w="1166" w:type="pct"/>
            <w:tcMar>
              <w:top w:w="72" w:type="dxa"/>
              <w:left w:w="144" w:type="dxa"/>
              <w:bottom w:w="72" w:type="dxa"/>
              <w:right w:w="144" w:type="dxa"/>
            </w:tcMar>
            <w:vAlign w:val="center"/>
          </w:tcPr>
          <w:p>
            <w:pPr>
              <w:spacing w:line="360" w:lineRule="exact"/>
              <w:ind w:firstLine="0" w:firstLineChars="0"/>
              <w:jc w:val="center"/>
              <w:rPr>
                <w:rFonts w:ascii="楷体" w:hAnsi="楷体" w:eastAsia="楷体"/>
                <w:snapToGrid w:val="0"/>
                <w:kern w:val="4"/>
                <w:sz w:val="21"/>
                <w:szCs w:val="21"/>
              </w:rPr>
            </w:pPr>
            <w:r>
              <w:rPr>
                <w:rFonts w:hint="eastAsia" w:ascii="楷体" w:hAnsi="楷体" w:eastAsia="楷体"/>
                <w:snapToGrid w:val="0"/>
                <w:kern w:val="4"/>
                <w:sz w:val="21"/>
                <w:szCs w:val="21"/>
              </w:rPr>
              <w:t>≥85</w:t>
            </w:r>
          </w:p>
        </w:tc>
        <w:tc>
          <w:tcPr>
            <w:tcW w:w="916" w:type="pct"/>
            <w:tcMar>
              <w:top w:w="72" w:type="dxa"/>
              <w:left w:w="144" w:type="dxa"/>
              <w:bottom w:w="72" w:type="dxa"/>
              <w:right w:w="144" w:type="dxa"/>
            </w:tcMar>
            <w:vAlign w:val="center"/>
          </w:tcPr>
          <w:p>
            <w:pPr>
              <w:spacing w:line="360" w:lineRule="exact"/>
              <w:ind w:firstLine="0" w:firstLineChars="0"/>
              <w:jc w:val="center"/>
              <w:rPr>
                <w:rFonts w:ascii="楷体" w:hAnsi="楷体" w:eastAsia="楷体"/>
                <w:snapToGrid w:val="0"/>
                <w:kern w:val="4"/>
                <w:sz w:val="21"/>
                <w:szCs w:val="21"/>
              </w:rPr>
            </w:pPr>
            <w:r>
              <w:rPr>
                <w:rFonts w:hint="eastAsia" w:ascii="楷体" w:hAnsi="楷体" w:eastAsia="楷体"/>
                <w:snapToGrid w:val="0"/>
                <w:kern w:val="4"/>
                <w:sz w:val="21"/>
                <w:szCs w:val="21"/>
              </w:rPr>
              <w:t>≥95</w:t>
            </w:r>
          </w:p>
        </w:tc>
      </w:tr>
      <w:tr>
        <w:tblPrEx>
          <w:tblBorders>
            <w:top w:val="double" w:color="auto" w:sz="4" w:space="0"/>
            <w:left w:val="double" w:color="auto" w:sz="4" w:space="0"/>
            <w:bottom w:val="double" w:color="auto" w:sz="4" w:space="0"/>
            <w:right w:val="double" w:color="auto" w:sz="4" w:space="0"/>
            <w:insideH w:val="single" w:color="000000" w:sz="8" w:space="0"/>
            <w:insideV w:val="single" w:color="000000" w:sz="8" w:space="0"/>
          </w:tblBorders>
          <w:tblCellMar>
            <w:top w:w="0" w:type="dxa"/>
            <w:left w:w="0" w:type="dxa"/>
            <w:bottom w:w="0" w:type="dxa"/>
            <w:right w:w="0" w:type="dxa"/>
          </w:tblCellMar>
        </w:tblPrEx>
        <w:trPr>
          <w:trHeight w:val="369" w:hRule="atLeast"/>
          <w:jc w:val="center"/>
        </w:trPr>
        <w:tc>
          <w:tcPr>
            <w:tcW w:w="2084" w:type="pct"/>
            <w:vAlign w:val="center"/>
          </w:tcPr>
          <w:p>
            <w:pPr>
              <w:spacing w:line="360" w:lineRule="exact"/>
              <w:ind w:firstLine="0" w:firstLineChars="0"/>
              <w:jc w:val="center"/>
              <w:rPr>
                <w:rFonts w:ascii="楷体" w:hAnsi="楷体" w:eastAsia="楷体"/>
                <w:snapToGrid w:val="0"/>
                <w:kern w:val="4"/>
                <w:sz w:val="21"/>
                <w:szCs w:val="21"/>
              </w:rPr>
            </w:pPr>
            <w:r>
              <w:rPr>
                <w:rFonts w:hint="eastAsia" w:ascii="楷体" w:hAnsi="楷体" w:eastAsia="楷体"/>
                <w:snapToGrid w:val="0"/>
                <w:kern w:val="4"/>
                <w:sz w:val="21"/>
                <w:szCs w:val="21"/>
              </w:rPr>
              <w:t>车均场站面积（平方米/标台）</w:t>
            </w:r>
          </w:p>
        </w:tc>
        <w:tc>
          <w:tcPr>
            <w:tcW w:w="834" w:type="pct"/>
            <w:vAlign w:val="center"/>
          </w:tcPr>
          <w:p>
            <w:pPr>
              <w:spacing w:line="360" w:lineRule="exact"/>
              <w:ind w:firstLine="0" w:firstLineChars="0"/>
              <w:jc w:val="center"/>
              <w:rPr>
                <w:rFonts w:ascii="楷体" w:hAnsi="楷体" w:eastAsia="楷体"/>
                <w:snapToGrid w:val="0"/>
                <w:kern w:val="4"/>
                <w:sz w:val="21"/>
                <w:szCs w:val="21"/>
              </w:rPr>
            </w:pPr>
            <w:r>
              <w:rPr>
                <w:rFonts w:ascii="楷体" w:hAnsi="楷体" w:eastAsia="楷体"/>
                <w:snapToGrid w:val="0"/>
                <w:kern w:val="4"/>
                <w:sz w:val="21"/>
                <w:szCs w:val="21"/>
              </w:rPr>
              <w:t>65</w:t>
            </w:r>
          </w:p>
        </w:tc>
        <w:tc>
          <w:tcPr>
            <w:tcW w:w="1166" w:type="pct"/>
            <w:tcMar>
              <w:top w:w="72" w:type="dxa"/>
              <w:left w:w="144" w:type="dxa"/>
              <w:bottom w:w="72" w:type="dxa"/>
              <w:right w:w="144" w:type="dxa"/>
            </w:tcMar>
            <w:vAlign w:val="center"/>
          </w:tcPr>
          <w:p>
            <w:pPr>
              <w:spacing w:line="360" w:lineRule="exact"/>
              <w:ind w:firstLine="0" w:firstLineChars="0"/>
              <w:jc w:val="center"/>
              <w:rPr>
                <w:rFonts w:ascii="楷体" w:hAnsi="楷体" w:eastAsia="楷体"/>
                <w:snapToGrid w:val="0"/>
                <w:kern w:val="4"/>
                <w:sz w:val="21"/>
                <w:szCs w:val="21"/>
              </w:rPr>
            </w:pPr>
            <w:r>
              <w:rPr>
                <w:rFonts w:hint="eastAsia" w:ascii="楷体" w:hAnsi="楷体" w:eastAsia="楷体"/>
                <w:snapToGrid w:val="0"/>
                <w:kern w:val="4"/>
                <w:sz w:val="21"/>
                <w:szCs w:val="21"/>
              </w:rPr>
              <w:t>≥150</w:t>
            </w:r>
          </w:p>
        </w:tc>
        <w:tc>
          <w:tcPr>
            <w:tcW w:w="916" w:type="pct"/>
            <w:tcMar>
              <w:top w:w="72" w:type="dxa"/>
              <w:left w:w="144" w:type="dxa"/>
              <w:bottom w:w="72" w:type="dxa"/>
              <w:right w:w="144" w:type="dxa"/>
            </w:tcMar>
            <w:vAlign w:val="center"/>
          </w:tcPr>
          <w:p>
            <w:pPr>
              <w:spacing w:line="360" w:lineRule="exact"/>
              <w:ind w:firstLine="0" w:firstLineChars="0"/>
              <w:jc w:val="center"/>
              <w:rPr>
                <w:rFonts w:ascii="楷体" w:hAnsi="楷体" w:eastAsia="楷体"/>
                <w:snapToGrid w:val="0"/>
                <w:kern w:val="4"/>
                <w:sz w:val="21"/>
                <w:szCs w:val="21"/>
              </w:rPr>
            </w:pPr>
            <w:r>
              <w:rPr>
                <w:rFonts w:hint="eastAsia" w:ascii="楷体" w:hAnsi="楷体" w:eastAsia="楷体"/>
                <w:snapToGrid w:val="0"/>
                <w:kern w:val="4"/>
                <w:sz w:val="21"/>
                <w:szCs w:val="21"/>
              </w:rPr>
              <w:t>≥180</w:t>
            </w:r>
          </w:p>
        </w:tc>
      </w:tr>
      <w:tr>
        <w:tblPrEx>
          <w:tblBorders>
            <w:top w:val="double" w:color="auto" w:sz="4" w:space="0"/>
            <w:left w:val="double" w:color="auto" w:sz="4" w:space="0"/>
            <w:bottom w:val="double" w:color="auto" w:sz="4" w:space="0"/>
            <w:right w:val="double" w:color="auto" w:sz="4" w:space="0"/>
            <w:insideH w:val="single" w:color="000000" w:sz="8" w:space="0"/>
            <w:insideV w:val="single" w:color="000000" w:sz="8" w:space="0"/>
          </w:tblBorders>
          <w:tblCellMar>
            <w:top w:w="0" w:type="dxa"/>
            <w:left w:w="0" w:type="dxa"/>
            <w:bottom w:w="0" w:type="dxa"/>
            <w:right w:w="0" w:type="dxa"/>
          </w:tblCellMar>
        </w:tblPrEx>
        <w:trPr>
          <w:trHeight w:val="369" w:hRule="atLeast"/>
          <w:jc w:val="center"/>
        </w:trPr>
        <w:tc>
          <w:tcPr>
            <w:tcW w:w="2084" w:type="pct"/>
            <w:vAlign w:val="center"/>
          </w:tcPr>
          <w:p>
            <w:pPr>
              <w:ind w:firstLine="0" w:firstLineChars="0"/>
              <w:jc w:val="center"/>
              <w:rPr>
                <w:rFonts w:ascii="楷体" w:hAnsi="楷体" w:eastAsia="楷体"/>
                <w:snapToGrid w:val="0"/>
                <w:kern w:val="4"/>
                <w:sz w:val="21"/>
                <w:szCs w:val="21"/>
              </w:rPr>
            </w:pPr>
            <w:r>
              <w:rPr>
                <w:rFonts w:hint="eastAsia" w:ascii="楷体" w:hAnsi="楷体" w:eastAsia="楷体"/>
                <w:snapToGrid w:val="0"/>
                <w:kern w:val="4"/>
                <w:sz w:val="21"/>
                <w:szCs w:val="21"/>
              </w:rPr>
              <w:t>首末站发车准点率（%）</w:t>
            </w:r>
          </w:p>
        </w:tc>
        <w:tc>
          <w:tcPr>
            <w:tcW w:w="834" w:type="pct"/>
            <w:vAlign w:val="center"/>
          </w:tcPr>
          <w:p>
            <w:pPr>
              <w:ind w:firstLine="0" w:firstLineChars="0"/>
              <w:jc w:val="center"/>
              <w:rPr>
                <w:rFonts w:ascii="楷体" w:hAnsi="楷体" w:eastAsia="楷体"/>
                <w:snapToGrid w:val="0"/>
                <w:kern w:val="4"/>
                <w:sz w:val="21"/>
                <w:szCs w:val="21"/>
              </w:rPr>
            </w:pPr>
            <w:r>
              <w:rPr>
                <w:rFonts w:ascii="楷体" w:hAnsi="楷体" w:eastAsia="楷体"/>
                <w:snapToGrid w:val="0"/>
                <w:kern w:val="4"/>
                <w:sz w:val="21"/>
                <w:szCs w:val="21"/>
              </w:rPr>
              <w:t>95</w:t>
            </w:r>
          </w:p>
        </w:tc>
        <w:tc>
          <w:tcPr>
            <w:tcW w:w="1166" w:type="pct"/>
            <w:tcMar>
              <w:top w:w="72" w:type="dxa"/>
              <w:left w:w="144" w:type="dxa"/>
              <w:bottom w:w="72" w:type="dxa"/>
              <w:right w:w="144" w:type="dxa"/>
            </w:tcMar>
            <w:vAlign w:val="center"/>
          </w:tcPr>
          <w:p>
            <w:pPr>
              <w:ind w:firstLine="0" w:firstLineChars="0"/>
              <w:jc w:val="center"/>
              <w:rPr>
                <w:rFonts w:ascii="楷体" w:hAnsi="楷体" w:eastAsia="楷体"/>
                <w:snapToGrid w:val="0"/>
                <w:kern w:val="4"/>
                <w:sz w:val="21"/>
                <w:szCs w:val="21"/>
              </w:rPr>
            </w:pPr>
            <w:r>
              <w:rPr>
                <w:rFonts w:hint="eastAsia" w:ascii="楷体" w:hAnsi="楷体" w:eastAsia="楷体"/>
                <w:snapToGrid w:val="0"/>
                <w:kern w:val="4"/>
                <w:sz w:val="21"/>
                <w:szCs w:val="21"/>
              </w:rPr>
              <w:t>≥95</w:t>
            </w:r>
          </w:p>
        </w:tc>
        <w:tc>
          <w:tcPr>
            <w:tcW w:w="916" w:type="pct"/>
            <w:tcMar>
              <w:top w:w="72" w:type="dxa"/>
              <w:left w:w="144" w:type="dxa"/>
              <w:bottom w:w="72" w:type="dxa"/>
              <w:right w:w="144" w:type="dxa"/>
            </w:tcMar>
            <w:vAlign w:val="center"/>
          </w:tcPr>
          <w:p>
            <w:pPr>
              <w:ind w:firstLine="0" w:firstLineChars="0"/>
              <w:jc w:val="center"/>
              <w:rPr>
                <w:rFonts w:ascii="楷体" w:hAnsi="楷体" w:eastAsia="楷体"/>
                <w:snapToGrid w:val="0"/>
                <w:kern w:val="4"/>
                <w:sz w:val="21"/>
                <w:szCs w:val="21"/>
              </w:rPr>
            </w:pPr>
            <w:r>
              <w:rPr>
                <w:rFonts w:hint="eastAsia" w:ascii="楷体" w:hAnsi="楷体" w:eastAsia="楷体"/>
                <w:snapToGrid w:val="0"/>
                <w:kern w:val="4"/>
                <w:sz w:val="21"/>
                <w:szCs w:val="21"/>
              </w:rPr>
              <w:t>≥98</w:t>
            </w:r>
          </w:p>
        </w:tc>
      </w:tr>
    </w:tbl>
    <w:p>
      <w:pPr>
        <w:ind w:firstLine="420"/>
        <w:rPr>
          <w:rFonts w:ascii="Times New Roman" w:hAnsi="Times New Roman" w:eastAsia="楷体"/>
          <w:snapToGrid w:val="0"/>
          <w:kern w:val="4"/>
          <w:sz w:val="21"/>
          <w:szCs w:val="21"/>
        </w:rPr>
      </w:pPr>
      <w:r>
        <w:rPr>
          <w:rFonts w:hint="eastAsia" w:ascii="Times New Roman" w:hAnsi="Times New Roman" w:eastAsia="楷体"/>
          <w:snapToGrid w:val="0"/>
          <w:kern w:val="4"/>
          <w:sz w:val="21"/>
          <w:szCs w:val="21"/>
        </w:rPr>
        <w:t>注</w:t>
      </w:r>
      <w:r>
        <w:rPr>
          <w:rFonts w:ascii="Times New Roman" w:hAnsi="Times New Roman" w:eastAsia="楷体"/>
          <w:snapToGrid w:val="0"/>
          <w:kern w:val="4"/>
          <w:sz w:val="21"/>
          <w:szCs w:val="21"/>
        </w:rPr>
        <w:t>：指标来源于</w:t>
      </w:r>
      <w:r>
        <w:rPr>
          <w:rFonts w:hint="eastAsia" w:ascii="Times New Roman" w:hAnsi="Times New Roman" w:eastAsia="楷体"/>
          <w:snapToGrid w:val="0"/>
          <w:kern w:val="4"/>
          <w:sz w:val="21"/>
          <w:szCs w:val="21"/>
        </w:rPr>
        <w:t>《省政府关于进一步落实城市公共交通优先发展战略的实施意见》</w:t>
      </w:r>
    </w:p>
    <w:p>
      <w:pPr>
        <w:spacing w:beforeLines="50" w:line="560" w:lineRule="exact"/>
        <w:ind w:firstLine="600"/>
        <w:outlineLvl w:val="3"/>
        <w:rPr>
          <w:rFonts w:ascii="Times New Roman" w:hAnsi="Times New Roman" w:eastAsia="楷体"/>
          <w:b/>
          <w:bCs/>
          <w:kern w:val="4"/>
          <w:sz w:val="30"/>
          <w:szCs w:val="30"/>
        </w:rPr>
      </w:pPr>
      <w:r>
        <w:rPr>
          <w:rFonts w:ascii="Times New Roman" w:hAnsi="Times New Roman" w:eastAsia="楷体"/>
          <w:b/>
          <w:bCs/>
          <w:kern w:val="4"/>
          <w:sz w:val="30"/>
          <w:szCs w:val="30"/>
        </w:rPr>
        <w:t>3、货运转型升级速度缓慢</w:t>
      </w:r>
    </w:p>
    <w:p>
      <w:pPr>
        <w:adjustRightInd w:val="0"/>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三级物流基地体系尚未形成，现有物流基地空间布局缺乏层次性。物流园区使用率过低，导致物流资源整合困难，人流、货流、车流、信息流等不集中。物流企业服务水平不高，普遍存在规模小、经营分散、抗风险能力弱等情况，龙头企业较少，示范带动效应不明显。货运车辆大型化、厢式化、专用化等各项指标明显落后于苏南其他城市。物流效率较低，社会物流总费用与GDP的比率高于全省平均水平。农村物流发展水平低。</w:t>
      </w:r>
    </w:p>
    <w:p>
      <w:pPr>
        <w:spacing w:beforeLines="50" w:line="560" w:lineRule="exact"/>
        <w:ind w:firstLine="600"/>
        <w:outlineLvl w:val="3"/>
        <w:rPr>
          <w:rFonts w:ascii="Times New Roman" w:hAnsi="Times New Roman" w:eastAsia="楷体"/>
          <w:b/>
          <w:bCs/>
          <w:kern w:val="4"/>
          <w:sz w:val="30"/>
          <w:szCs w:val="30"/>
        </w:rPr>
      </w:pPr>
      <w:r>
        <w:rPr>
          <w:rFonts w:ascii="Times New Roman" w:hAnsi="Times New Roman" w:eastAsia="楷体"/>
          <w:b/>
          <w:bCs/>
          <w:kern w:val="4"/>
          <w:sz w:val="30"/>
          <w:szCs w:val="30"/>
        </w:rPr>
        <w:t>4、行业管理机制有待优化</w:t>
      </w:r>
    </w:p>
    <w:p>
      <w:pPr>
        <w:adjustRightInd w:val="0"/>
        <w:spacing w:line="560" w:lineRule="exact"/>
        <w:ind w:firstLine="602"/>
        <w:rPr>
          <w:rFonts w:ascii="Times New Roman" w:hAnsi="Times New Roman" w:eastAsia="仿宋_GB2312"/>
          <w:kern w:val="4"/>
          <w:sz w:val="30"/>
          <w:szCs w:val="30"/>
        </w:rPr>
      </w:pPr>
      <w:r>
        <w:rPr>
          <w:rFonts w:hint="eastAsia" w:ascii="Times New Roman" w:hAnsi="Times New Roman" w:eastAsia="仿宋_GB2312"/>
          <w:b/>
          <w:kern w:val="4"/>
          <w:sz w:val="30"/>
          <w:szCs w:val="30"/>
        </w:rPr>
        <w:t>一是</w:t>
      </w:r>
      <w:r>
        <w:rPr>
          <w:rFonts w:ascii="Times New Roman" w:hAnsi="Times New Roman" w:eastAsia="仿宋_GB2312"/>
          <w:b/>
          <w:kern w:val="4"/>
          <w:sz w:val="30"/>
          <w:szCs w:val="30"/>
        </w:rPr>
        <w:t>运输管理面临新压力。</w:t>
      </w:r>
      <w:r>
        <w:rPr>
          <w:rFonts w:ascii="Times New Roman" w:hAnsi="Times New Roman" w:eastAsia="仿宋_GB2312"/>
          <w:kern w:val="4"/>
          <w:sz w:val="30"/>
          <w:szCs w:val="30"/>
        </w:rPr>
        <w:t>随着城市客运职能交接到交通运输部门，在城市交通问题日趋突出情况下，城市客运行业的管理给交通运输管理部门带来新压力。</w:t>
      </w:r>
      <w:r>
        <w:rPr>
          <w:rFonts w:hint="eastAsia" w:ascii="Times New Roman" w:hAnsi="Times New Roman" w:eastAsia="仿宋_GB2312"/>
          <w:b/>
          <w:kern w:val="4"/>
          <w:sz w:val="30"/>
          <w:szCs w:val="30"/>
        </w:rPr>
        <w:t>二是</w:t>
      </w:r>
      <w:r>
        <w:rPr>
          <w:rFonts w:ascii="Times New Roman" w:hAnsi="Times New Roman" w:eastAsia="仿宋_GB2312"/>
          <w:b/>
          <w:kern w:val="4"/>
          <w:sz w:val="30"/>
          <w:szCs w:val="30"/>
        </w:rPr>
        <w:t>养护管理工作面临诸多制约因素。</w:t>
      </w:r>
      <w:r>
        <w:rPr>
          <w:rFonts w:ascii="Times New Roman" w:hAnsi="Times New Roman" w:eastAsia="仿宋_GB2312"/>
          <w:kern w:val="4"/>
          <w:sz w:val="30"/>
          <w:szCs w:val="30"/>
        </w:rPr>
        <w:t>一方面随着溧水区高等级公路比例不断增加，另一方面随着农村公路建设完成后，即将会面临大量养护工作，公路养护经费不足的问题日益显现。</w:t>
      </w:r>
      <w:r>
        <w:rPr>
          <w:rFonts w:hint="eastAsia" w:ascii="Times New Roman" w:hAnsi="Times New Roman" w:eastAsia="仿宋_GB2312"/>
          <w:b/>
          <w:kern w:val="4"/>
          <w:sz w:val="30"/>
          <w:szCs w:val="30"/>
        </w:rPr>
        <w:t>三是</w:t>
      </w:r>
      <w:r>
        <w:rPr>
          <w:rFonts w:ascii="Times New Roman" w:hAnsi="Times New Roman" w:eastAsia="仿宋_GB2312"/>
          <w:b/>
          <w:kern w:val="4"/>
          <w:sz w:val="30"/>
          <w:szCs w:val="30"/>
        </w:rPr>
        <w:t>交通安全监管能力有待进一步提升。</w:t>
      </w:r>
      <w:r>
        <w:rPr>
          <w:rFonts w:ascii="Times New Roman" w:hAnsi="Times New Roman" w:eastAsia="仿宋_GB2312"/>
          <w:kern w:val="4"/>
          <w:sz w:val="30"/>
          <w:szCs w:val="30"/>
        </w:rPr>
        <w:t>“十二五”期间溧水区交通安全形势持续稳定，应急处置能力明显提高，但是总体上安全工作基础仍然薄弱，安全监管标准体系尚不完善，安全机构监管力量不足，从业人员的综合素质偏低，安全投入制度缺乏保证。</w:t>
      </w:r>
    </w:p>
    <w:p>
      <w:pPr>
        <w:spacing w:beforeLines="50" w:line="560" w:lineRule="exact"/>
        <w:ind w:firstLine="600"/>
        <w:outlineLvl w:val="3"/>
        <w:rPr>
          <w:rFonts w:ascii="Times New Roman" w:hAnsi="Times New Roman" w:eastAsia="楷体"/>
          <w:b/>
          <w:bCs/>
          <w:kern w:val="4"/>
          <w:sz w:val="30"/>
          <w:szCs w:val="30"/>
        </w:rPr>
      </w:pPr>
      <w:r>
        <w:rPr>
          <w:rFonts w:ascii="Times New Roman" w:hAnsi="Times New Roman" w:eastAsia="楷体"/>
          <w:b/>
          <w:bCs/>
          <w:kern w:val="4"/>
          <w:sz w:val="30"/>
          <w:szCs w:val="30"/>
        </w:rPr>
        <w:t>5、交通信息技术有待加强</w:t>
      </w:r>
    </w:p>
    <w:p>
      <w:pPr>
        <w:adjustRightInd w:val="0"/>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目前一些部门和单位进行了交通信息化改造，但交通信息化水平仍需大力提高。一是随着信息化建设的不断发展，信息化建设与维护的投入制度保障还没有形成，制约着信息化建设；二是随着交通各业务系统的不断开发，资源相对独立，需要运用科技手段进行大力整合，实现最大程度的资源共享，形成一个集“监管、安全和公共信息服务”为一体的智能交通信息平台，通过现代化的信息技术手段，从而提高交通运输的效率，保障运输的安全性和便捷性。</w:t>
      </w:r>
    </w:p>
    <w:p>
      <w:pPr>
        <w:spacing w:beforeLines="50" w:line="560" w:lineRule="exact"/>
        <w:ind w:firstLine="600"/>
        <w:outlineLvl w:val="3"/>
        <w:rPr>
          <w:rFonts w:ascii="Times New Roman" w:hAnsi="Times New Roman" w:eastAsia="楷体"/>
          <w:b/>
          <w:bCs/>
          <w:kern w:val="4"/>
          <w:sz w:val="30"/>
          <w:szCs w:val="30"/>
        </w:rPr>
      </w:pPr>
      <w:r>
        <w:rPr>
          <w:rFonts w:ascii="Times New Roman" w:hAnsi="Times New Roman" w:eastAsia="楷体"/>
          <w:b/>
          <w:bCs/>
          <w:kern w:val="4"/>
          <w:sz w:val="30"/>
          <w:szCs w:val="30"/>
        </w:rPr>
        <w:t>6、交通外部环境制约加大</w:t>
      </w:r>
    </w:p>
    <w:p>
      <w:pPr>
        <w:adjustRightInd w:val="0"/>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资金、土地、生态等因素制约交通项目推进日益凸显，破解之法还不明朗。资金方面，溧水交通建设投入不断加大，建设项目投融资渠道单一的问题逐步显现，尤其是干线公路、农村公路等公益性强、经济效益差的领域，地方配套资金不能及时落实，资金筹措困难。土地方面，交通基础设施建设用地征用困难重重，土地指标日益趋紧。生态方面，根据《江苏省主体功能区规划》，溧水区规划为农产品主产区，属于限制开发区域，生态环境保护要求较高。</w:t>
      </w:r>
    </w:p>
    <w:p>
      <w:pPr>
        <w:spacing w:line="1200" w:lineRule="exact"/>
        <w:ind w:firstLine="0" w:firstLineChars="0"/>
        <w:jc w:val="center"/>
        <w:outlineLvl w:val="0"/>
        <w:rPr>
          <w:rFonts w:ascii="Times New Roman" w:hAnsi="Times New Roman" w:eastAsia="黑体"/>
          <w:kern w:val="4"/>
          <w:sz w:val="32"/>
          <w:szCs w:val="32"/>
        </w:rPr>
        <w:sectPr>
          <w:headerReference r:id="rId14" w:type="default"/>
          <w:footerReference r:id="rId15" w:type="default"/>
          <w:pgSz w:w="11906" w:h="16838"/>
          <w:pgMar w:top="1701" w:right="1134" w:bottom="1418" w:left="1418" w:header="1247" w:footer="992" w:gutter="0"/>
          <w:pgNumType w:start="1"/>
          <w:cols w:space="425" w:num="1"/>
          <w:docGrid w:linePitch="312" w:charSpace="0"/>
        </w:sectPr>
      </w:pPr>
    </w:p>
    <w:p>
      <w:pPr>
        <w:spacing w:line="1200" w:lineRule="exact"/>
        <w:ind w:firstLine="0" w:firstLineChars="0"/>
        <w:jc w:val="center"/>
        <w:outlineLvl w:val="0"/>
        <w:rPr>
          <w:rFonts w:ascii="Times New Roman" w:hAnsi="Times New Roman" w:eastAsia="华文新魏"/>
          <w:kern w:val="4"/>
          <w:sz w:val="44"/>
          <w:szCs w:val="44"/>
        </w:rPr>
      </w:pPr>
      <w:bookmarkStart w:id="7" w:name="_Toc429487888"/>
      <w:bookmarkStart w:id="8" w:name="_Toc438123186"/>
      <w:r>
        <w:rPr>
          <w:rFonts w:ascii="Times New Roman" w:hAnsi="Times New Roman" w:eastAsia="华文新魏"/>
          <w:kern w:val="4"/>
          <w:sz w:val="44"/>
          <w:szCs w:val="44"/>
        </w:rPr>
        <w:t>第二章“十三五”发展形势与需求</w:t>
      </w:r>
      <w:bookmarkEnd w:id="7"/>
      <w:bookmarkEnd w:id="8"/>
    </w:p>
    <w:p>
      <w:pPr>
        <w:spacing w:line="960" w:lineRule="exact"/>
        <w:ind w:firstLine="0" w:firstLineChars="0"/>
        <w:outlineLvl w:val="1"/>
        <w:rPr>
          <w:rFonts w:ascii="Times New Roman" w:hAnsi="Times New Roman" w:eastAsia="黑体"/>
          <w:kern w:val="4"/>
          <w:sz w:val="32"/>
          <w:szCs w:val="28"/>
        </w:rPr>
      </w:pPr>
      <w:bookmarkStart w:id="9" w:name="_Toc429487889"/>
      <w:bookmarkStart w:id="10" w:name="_Toc438123187"/>
      <w:r>
        <w:rPr>
          <w:rFonts w:ascii="Times New Roman" w:hAnsi="Times New Roman" w:eastAsia="黑体"/>
          <w:kern w:val="4"/>
          <w:sz w:val="32"/>
          <w:szCs w:val="28"/>
        </w:rPr>
        <w:t>2.1形势要求</w:t>
      </w:r>
      <w:bookmarkEnd w:id="9"/>
      <w:bookmarkEnd w:id="10"/>
    </w:p>
    <w:p>
      <w:pPr>
        <w:adjustRightInd w:val="0"/>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“十三五”期间，是深化改革开放、加快转变经济发展方式的攻坚时期，也是加快推进交通运输结构调整、转变发展方式、向现代服务业转型的</w:t>
      </w:r>
      <w:r>
        <w:rPr>
          <w:rFonts w:hint="eastAsia" w:ascii="Times New Roman" w:hAnsi="Times New Roman" w:eastAsia="仿宋_GB2312"/>
          <w:kern w:val="4"/>
          <w:sz w:val="30"/>
          <w:szCs w:val="30"/>
        </w:rPr>
        <w:t>关键时</w:t>
      </w:r>
      <w:r>
        <w:rPr>
          <w:rFonts w:ascii="Times New Roman" w:hAnsi="Times New Roman" w:eastAsia="仿宋_GB2312"/>
          <w:kern w:val="4"/>
          <w:sz w:val="30"/>
          <w:szCs w:val="30"/>
        </w:rPr>
        <w:t>期</w:t>
      </w:r>
      <w:r>
        <w:rPr>
          <w:rFonts w:hint="eastAsia" w:ascii="Times New Roman" w:hAnsi="Times New Roman" w:eastAsia="仿宋_GB2312"/>
          <w:kern w:val="4"/>
          <w:sz w:val="30"/>
          <w:szCs w:val="30"/>
        </w:rPr>
        <w:t>，</w:t>
      </w:r>
      <w:r>
        <w:rPr>
          <w:rFonts w:ascii="Times New Roman" w:hAnsi="Times New Roman" w:eastAsia="仿宋_GB2312"/>
          <w:kern w:val="4"/>
          <w:sz w:val="30"/>
          <w:szCs w:val="30"/>
        </w:rPr>
        <w:t>溧水面临政策叠加、深化改革带来的重要机遇，同时也面临“新常态”下转变发展方式、经济社会发展与人民群众新的需求带来的挑战。在此形势下，要求交通运输要适应新的发展形势，充分发挥基础支撑和先行引领作用。</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1、策应重大经济发展新战略，要求溧水充分发挥交通先行官作用</w:t>
      </w:r>
    </w:p>
    <w:p>
      <w:pPr>
        <w:adjustRightInd w:val="0"/>
        <w:spacing w:afterLines="50"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十三五”时期，“一带一路”、长江经济带、苏南现代化建设示范区、宁镇扬同城化、南京“五型经济”等一系列国家和省市重大发展战略向纵深推进，为溧水经济社会发展提供了重要机遇，同时也对交通发展提出了更高要求。溧水位于长三角洲经济区，是南京的南大门，华东地区重要的交通枢纽，长三角地区制造业基地和现代化产业集聚区，同时也是南京重要的副城。</w:t>
      </w:r>
      <w:r>
        <w:rPr>
          <w:rFonts w:hint="eastAsia" w:ascii="Times New Roman" w:hAnsi="Times New Roman" w:eastAsia="仿宋_GB2312"/>
          <w:kern w:val="4"/>
          <w:sz w:val="30"/>
          <w:szCs w:val="30"/>
        </w:rPr>
        <w:t>“十二五”期间</w:t>
      </w:r>
      <w:r>
        <w:rPr>
          <w:rFonts w:ascii="Times New Roman" w:hAnsi="Times New Roman" w:eastAsia="仿宋_GB2312"/>
          <w:kern w:val="4"/>
          <w:sz w:val="30"/>
          <w:szCs w:val="30"/>
        </w:rPr>
        <w:t>，</w:t>
      </w:r>
      <w:r>
        <w:rPr>
          <w:rFonts w:hint="eastAsia" w:ascii="Times New Roman" w:hAnsi="Times New Roman" w:eastAsia="仿宋_GB2312"/>
          <w:kern w:val="4"/>
          <w:sz w:val="30"/>
          <w:szCs w:val="30"/>
        </w:rPr>
        <w:t>宁杭高铁的开通极大强化了溧水的交通区位优势，再结合禄口高等级空港资源，溧水已经形成空港枢纽、高铁枢纽、高速枢纽的叠加优势，有力提升了区域地位，极大拓展了发展空间，形成</w:t>
      </w:r>
      <w:r>
        <w:rPr>
          <w:rFonts w:ascii="Times New Roman" w:hAnsi="Times New Roman" w:eastAsia="仿宋_GB2312"/>
          <w:kern w:val="4"/>
          <w:sz w:val="30"/>
          <w:szCs w:val="30"/>
        </w:rPr>
        <w:t>了“30分钟到机场、高铁车站、1小时到沿江港口、2小时到杭州、3小时到上海”的</w:t>
      </w:r>
      <w:r>
        <w:rPr>
          <w:rFonts w:hint="eastAsia" w:ascii="Times New Roman" w:hAnsi="Times New Roman" w:eastAsia="仿宋_GB2312"/>
          <w:kern w:val="4"/>
          <w:sz w:val="30"/>
          <w:szCs w:val="30"/>
        </w:rPr>
        <w:t>时空圈</w:t>
      </w:r>
      <w:r>
        <w:rPr>
          <w:rFonts w:ascii="Times New Roman" w:hAnsi="Times New Roman" w:eastAsia="仿宋_GB2312"/>
          <w:kern w:val="4"/>
          <w:sz w:val="30"/>
          <w:szCs w:val="30"/>
        </w:rPr>
        <w:t>，</w:t>
      </w:r>
      <w:r>
        <w:rPr>
          <w:rFonts w:hint="eastAsia" w:ascii="Times New Roman" w:hAnsi="Times New Roman" w:eastAsia="仿宋_GB2312"/>
          <w:kern w:val="4"/>
          <w:sz w:val="30"/>
          <w:szCs w:val="30"/>
        </w:rPr>
        <w:t>大幅增强了溧水的集聚辐射能力</w:t>
      </w:r>
      <w:r>
        <w:rPr>
          <w:rFonts w:ascii="Times New Roman" w:hAnsi="Times New Roman" w:eastAsia="仿宋_GB2312"/>
          <w:kern w:val="4"/>
          <w:sz w:val="30"/>
          <w:szCs w:val="30"/>
        </w:rPr>
        <w:t>。</w:t>
      </w:r>
      <w:r>
        <w:rPr>
          <w:rFonts w:hint="eastAsia" w:ascii="Times New Roman" w:hAnsi="Times New Roman" w:eastAsia="仿宋_GB2312"/>
          <w:kern w:val="4"/>
          <w:sz w:val="30"/>
          <w:szCs w:val="30"/>
        </w:rPr>
        <w:t>“十三五”期间</w:t>
      </w:r>
      <w:r>
        <w:rPr>
          <w:rFonts w:ascii="Times New Roman" w:hAnsi="Times New Roman" w:eastAsia="仿宋_GB2312"/>
          <w:kern w:val="4"/>
          <w:sz w:val="30"/>
          <w:szCs w:val="30"/>
        </w:rPr>
        <w:t>，要求溧水</w:t>
      </w:r>
      <w:r>
        <w:rPr>
          <w:rFonts w:hint="eastAsia" w:ascii="Times New Roman" w:hAnsi="Times New Roman" w:eastAsia="仿宋_GB2312"/>
          <w:kern w:val="4"/>
          <w:sz w:val="30"/>
          <w:szCs w:val="30"/>
        </w:rPr>
        <w:t>以撤县设区为契机，充分</w:t>
      </w:r>
      <w:r>
        <w:rPr>
          <w:rFonts w:ascii="Times New Roman" w:hAnsi="Times New Roman" w:eastAsia="仿宋_GB2312"/>
          <w:kern w:val="4"/>
          <w:sz w:val="30"/>
          <w:szCs w:val="30"/>
        </w:rPr>
        <w:t>发挥交通先行官作用，突出重大枢纽、高速铁路、干线航道和快速道路系统的引导作用，加强与</w:t>
      </w:r>
      <w:r>
        <w:rPr>
          <w:rFonts w:hint="eastAsia" w:ascii="Times New Roman" w:hAnsi="Times New Roman" w:eastAsia="仿宋_GB2312"/>
          <w:kern w:val="4"/>
          <w:sz w:val="30"/>
          <w:szCs w:val="30"/>
        </w:rPr>
        <w:t>南京</w:t>
      </w:r>
      <w:r>
        <w:rPr>
          <w:rFonts w:ascii="Times New Roman" w:hAnsi="Times New Roman" w:eastAsia="仿宋_GB2312"/>
          <w:kern w:val="4"/>
          <w:sz w:val="30"/>
          <w:szCs w:val="30"/>
        </w:rPr>
        <w:t>主城区及周边区域互联互通，</w:t>
      </w:r>
      <w:r>
        <w:rPr>
          <w:rFonts w:hint="eastAsia" w:ascii="Times New Roman" w:hAnsi="Times New Roman" w:eastAsia="仿宋_GB2312"/>
          <w:kern w:val="4"/>
          <w:sz w:val="30"/>
          <w:szCs w:val="30"/>
        </w:rPr>
        <w:t>积极承接主城人才、资金、产业、功能的持续外溢，全面提升发展质量。</w:t>
      </w:r>
    </w:p>
    <w:p>
      <w:pPr>
        <w:adjustRightInd w:val="0"/>
        <w:ind w:firstLine="0" w:firstLineChars="0"/>
        <w:jc w:val="center"/>
        <w:rPr>
          <w:rFonts w:ascii="Times New Roman" w:hAnsi="Times New Roman" w:eastAsia="仿宋_GB2312"/>
          <w:kern w:val="4"/>
          <w:sz w:val="30"/>
          <w:szCs w:val="30"/>
        </w:rPr>
      </w:pPr>
      <w:r>
        <w:rPr>
          <w:rFonts w:ascii="Times New Roman" w:hAnsi="Times New Roman" w:eastAsia="仿宋_GB2312"/>
          <w:kern w:val="4"/>
          <w:sz w:val="30"/>
          <w:szCs w:val="30"/>
        </w:rPr>
        <w:drawing>
          <wp:inline distT="0" distB="0" distL="0" distR="0">
            <wp:extent cx="4817745" cy="3493770"/>
            <wp:effectExtent l="19050" t="19050" r="20955" b="11430"/>
            <wp:docPr id="13" name="图片 3" descr="溧水区位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descr="溧水区位图"/>
                    <pic:cNvPicPr>
                      <a:picLocks noChangeAspect="1" noChangeArrowheads="1"/>
                    </pic:cNvPicPr>
                  </pic:nvPicPr>
                  <pic:blipFill>
                    <a:blip r:embed="rId26">
                      <a:extLst>
                        <a:ext uri="{28A0092B-C50C-407E-A947-70E740481C1C}">
                          <a14:useLocalDpi xmlns:a14="http://schemas.microsoft.com/office/drawing/2010/main" val="0"/>
                        </a:ext>
                      </a:extLst>
                    </a:blip>
                    <a:srcRect l="3073" t="12206" r="2776" b="2675"/>
                    <a:stretch>
                      <a:fillRect/>
                    </a:stretch>
                  </pic:blipFill>
                  <pic:spPr>
                    <a:xfrm>
                      <a:off x="0" y="0"/>
                      <a:ext cx="4817745" cy="3493770"/>
                    </a:xfrm>
                    <a:prstGeom prst="rect">
                      <a:avLst/>
                    </a:prstGeom>
                    <a:noFill/>
                    <a:ln w="6350" cmpd="sng">
                      <a:solidFill>
                        <a:srgbClr val="000000"/>
                      </a:solidFill>
                      <a:miter lim="800000"/>
                      <a:headEnd/>
                      <a:tailEnd/>
                    </a:ln>
                    <a:effectLst/>
                  </pic:spPr>
                </pic:pic>
              </a:graphicData>
            </a:graphic>
          </wp:inline>
        </w:drawing>
      </w:r>
    </w:p>
    <w:p>
      <w:pPr>
        <w:snapToGrid w:val="0"/>
        <w:ind w:firstLine="0" w:firstLineChars="0"/>
        <w:jc w:val="center"/>
        <w:rPr>
          <w:rFonts w:ascii="Times New Roman" w:hAnsi="Times New Roman" w:eastAsia="黑体"/>
          <w:bCs/>
          <w:kern w:val="4"/>
          <w:sz w:val="24"/>
        </w:rPr>
      </w:pPr>
      <w:r>
        <w:rPr>
          <w:rFonts w:ascii="Times New Roman" w:hAnsi="Times New Roman" w:eastAsia="黑体"/>
          <w:bCs/>
          <w:kern w:val="4"/>
          <w:sz w:val="24"/>
        </w:rPr>
        <w:t>图2-1  溧水区交通区位图</w:t>
      </w:r>
    </w:p>
    <w:p>
      <w:pPr>
        <w:adjustRightInd w:val="0"/>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2、适应经济发展新常态，要求溧水加快交通运输业转型升级</w:t>
      </w:r>
    </w:p>
    <w:p>
      <w:pPr>
        <w:adjustRightInd w:val="0"/>
        <w:spacing w:afterLines="50" w:line="560" w:lineRule="exact"/>
        <w:ind w:firstLine="420" w:firstLineChars="0"/>
        <w:rPr>
          <w:rFonts w:ascii="Times New Roman" w:hAnsi="Times New Roman" w:eastAsia="仿宋_GB2312"/>
          <w:kern w:val="4"/>
          <w:sz w:val="30"/>
          <w:szCs w:val="30"/>
        </w:rPr>
      </w:pPr>
      <w:r>
        <w:rPr>
          <w:rFonts w:ascii="Times New Roman" w:hAnsi="Times New Roman" w:eastAsia="仿宋_GB2312"/>
          <w:kern w:val="4"/>
          <w:sz w:val="30"/>
          <w:szCs w:val="30"/>
        </w:rPr>
        <w:t>在今后很长一段时期内，经济发展</w:t>
      </w:r>
      <w:r>
        <w:rPr>
          <w:rFonts w:hint="eastAsia" w:ascii="Times New Roman" w:hAnsi="Times New Roman" w:eastAsia="仿宋_GB2312"/>
          <w:kern w:val="4"/>
          <w:sz w:val="30"/>
          <w:szCs w:val="30"/>
        </w:rPr>
        <w:t>进入</w:t>
      </w:r>
      <w:r>
        <w:rPr>
          <w:rFonts w:ascii="Times New Roman" w:hAnsi="Times New Roman" w:eastAsia="仿宋_GB2312"/>
          <w:kern w:val="4"/>
          <w:sz w:val="30"/>
          <w:szCs w:val="30"/>
        </w:rPr>
        <w:t>“新常态”，</w:t>
      </w:r>
      <w:r>
        <w:rPr>
          <w:rFonts w:hint="eastAsia" w:ascii="Times New Roman" w:hAnsi="Times New Roman" w:eastAsia="仿宋_GB2312"/>
          <w:kern w:val="4"/>
          <w:sz w:val="30"/>
          <w:szCs w:val="30"/>
        </w:rPr>
        <w:t>呈现出速度换挡、结构优化、动力转换三大特点。根据《南京市溧水区国民经济和社会发展第十三个五年规划纲要》研究</w:t>
      </w:r>
      <w:r>
        <w:rPr>
          <w:rFonts w:ascii="Times New Roman" w:hAnsi="Times New Roman" w:eastAsia="仿宋_GB2312"/>
          <w:kern w:val="4"/>
          <w:sz w:val="30"/>
          <w:szCs w:val="30"/>
        </w:rPr>
        <w:t>成果，</w:t>
      </w:r>
      <w:r>
        <w:rPr>
          <w:rFonts w:hint="eastAsia" w:ascii="Times New Roman" w:hAnsi="Times New Roman" w:eastAsia="仿宋_GB2312"/>
          <w:kern w:val="4"/>
          <w:sz w:val="30"/>
          <w:szCs w:val="30"/>
        </w:rPr>
        <w:t>今后五年，是溧水加快转变经济发展方式，实现转型创新跨越发展的强力攻坚期。溧水总体定位为“南京都市区副城、宁杭发展轴上的重要节点城市”，具体定位为“三城</w:t>
      </w:r>
      <w:r>
        <w:rPr>
          <w:rFonts w:ascii="Times New Roman" w:hAnsi="Times New Roman" w:eastAsia="仿宋_GB2312"/>
          <w:kern w:val="4"/>
          <w:sz w:val="30"/>
          <w:szCs w:val="30"/>
        </w:rPr>
        <w:t>一园”</w:t>
      </w:r>
      <w:r>
        <w:rPr>
          <w:rFonts w:hint="eastAsia" w:ascii="Times New Roman" w:hAnsi="Times New Roman" w:eastAsia="仿宋_GB2312"/>
          <w:kern w:val="4"/>
          <w:sz w:val="30"/>
          <w:szCs w:val="30"/>
        </w:rPr>
        <w:t>即枢纽新城、产业新城、康居新城、都市田园。到2020年</w:t>
      </w:r>
      <w:r>
        <w:rPr>
          <w:rFonts w:ascii="Times New Roman" w:hAnsi="Times New Roman" w:eastAsia="仿宋_GB2312"/>
          <w:kern w:val="4"/>
          <w:sz w:val="30"/>
          <w:szCs w:val="30"/>
        </w:rPr>
        <w:t>，</w:t>
      </w:r>
      <w:r>
        <w:rPr>
          <w:rFonts w:hint="eastAsia" w:ascii="Times New Roman" w:hAnsi="Times New Roman" w:eastAsia="仿宋_GB2312"/>
          <w:kern w:val="4"/>
          <w:sz w:val="30"/>
          <w:szCs w:val="30"/>
        </w:rPr>
        <w:t>地区生产总值突破</w:t>
      </w:r>
      <w:r>
        <w:rPr>
          <w:rFonts w:ascii="Times New Roman" w:hAnsi="Times New Roman" w:eastAsia="仿宋_GB2312"/>
          <w:kern w:val="4"/>
          <w:sz w:val="30"/>
          <w:szCs w:val="30"/>
        </w:rPr>
        <w:t>1000亿元</w:t>
      </w:r>
      <w:r>
        <w:rPr>
          <w:rFonts w:hint="eastAsia" w:ascii="Times New Roman" w:hAnsi="Times New Roman" w:eastAsia="仿宋_GB2312"/>
          <w:kern w:val="4"/>
          <w:sz w:val="30"/>
          <w:szCs w:val="30"/>
        </w:rPr>
        <w:t>，</w:t>
      </w:r>
      <w:r>
        <w:rPr>
          <w:rFonts w:ascii="Times New Roman" w:hAnsi="Times New Roman" w:eastAsia="仿宋_GB2312"/>
          <w:kern w:val="4"/>
          <w:sz w:val="30"/>
          <w:szCs w:val="30"/>
        </w:rPr>
        <w:t>产业结构</w:t>
      </w:r>
      <w:r>
        <w:rPr>
          <w:rFonts w:hint="eastAsia" w:ascii="Times New Roman" w:hAnsi="Times New Roman" w:eastAsia="仿宋_GB2312"/>
          <w:kern w:val="4"/>
          <w:sz w:val="30"/>
          <w:szCs w:val="30"/>
        </w:rPr>
        <w:t>向</w:t>
      </w:r>
      <w:r>
        <w:rPr>
          <w:rFonts w:ascii="Times New Roman" w:hAnsi="Times New Roman" w:eastAsia="仿宋_GB2312"/>
          <w:kern w:val="4"/>
          <w:sz w:val="30"/>
          <w:szCs w:val="30"/>
        </w:rPr>
        <w:t>中高端迈进</w:t>
      </w:r>
      <w:r>
        <w:rPr>
          <w:rFonts w:hint="eastAsia" w:ascii="Times New Roman" w:hAnsi="Times New Roman" w:eastAsia="仿宋_GB2312"/>
          <w:kern w:val="4"/>
          <w:sz w:val="30"/>
          <w:szCs w:val="30"/>
        </w:rPr>
        <w:t>，率先实现农业现代化，服务业增加值占</w:t>
      </w:r>
      <w:r>
        <w:rPr>
          <w:rFonts w:ascii="Times New Roman" w:hAnsi="Times New Roman" w:eastAsia="仿宋_GB2312"/>
          <w:kern w:val="4"/>
          <w:sz w:val="30"/>
          <w:szCs w:val="30"/>
        </w:rPr>
        <w:t>GDP比重每年提高1个百分点，达到45%。</w:t>
      </w:r>
      <w:r>
        <w:rPr>
          <w:rFonts w:hint="eastAsia" w:ascii="Times New Roman" w:hAnsi="Times New Roman" w:eastAsia="仿宋_GB2312"/>
          <w:kern w:val="4"/>
          <w:sz w:val="30"/>
          <w:szCs w:val="30"/>
        </w:rPr>
        <w:t>这</w:t>
      </w:r>
      <w:r>
        <w:rPr>
          <w:rFonts w:ascii="Times New Roman" w:hAnsi="Times New Roman" w:eastAsia="仿宋_GB2312"/>
          <w:kern w:val="4"/>
          <w:sz w:val="30"/>
          <w:szCs w:val="30"/>
        </w:rPr>
        <w:t>从诸多方面要求交通运输业以创新驱动加快转型升级</w:t>
      </w:r>
      <w:r>
        <w:rPr>
          <w:rFonts w:hint="eastAsia" w:ascii="Times New Roman" w:hAnsi="Times New Roman" w:eastAsia="仿宋_GB2312"/>
          <w:kern w:val="4"/>
          <w:sz w:val="30"/>
          <w:szCs w:val="30"/>
        </w:rPr>
        <w:t>。</w:t>
      </w:r>
      <w:r>
        <w:rPr>
          <w:rFonts w:ascii="Times New Roman" w:hAnsi="Times New Roman" w:eastAsia="仿宋_GB2312"/>
          <w:kern w:val="4"/>
          <w:sz w:val="30"/>
          <w:szCs w:val="30"/>
        </w:rPr>
        <w:t>运输生产方面，以货运为例，由于运输生产增速放缓，“十三五”时期溧水货运量将以中高速增长，同时运输结构也发生重大转变，小批量、多样化、高附加值货运比重明显上升，要求溧水区创新货物运输发展模式，提高运输管理水平。基础设施建设方面，“新常态”发展环境下，交通运输基础设施建设的资金、土地、环境等问题将更加凸显，要求溧水区更加注重投入效率和产出效益。一是通过科技化和信息化手段，充分发挥大数据优势，实现资源投入的大幅降低和综合效益的大幅提升；二是充分挖掘综合交通的网络效益，实现交通运输由“量的扩张”向“质的提升”转变，实现“建设、养护、管理”三并重。</w:t>
      </w:r>
    </w:p>
    <w:p>
      <w:pPr>
        <w:pBdr>
          <w:top w:val="single" w:color="auto" w:sz="4" w:space="1"/>
          <w:left w:val="single" w:color="auto" w:sz="4" w:space="4"/>
          <w:bottom w:val="single" w:color="auto" w:sz="4" w:space="1"/>
          <w:right w:val="single" w:color="auto" w:sz="4" w:space="4"/>
        </w:pBdr>
        <w:shd w:val="pct5" w:color="auto" w:fill="auto"/>
        <w:adjustRightInd w:val="0"/>
        <w:spacing w:line="560" w:lineRule="exact"/>
        <w:ind w:firstLine="0" w:firstLineChars="0"/>
        <w:jc w:val="center"/>
        <w:rPr>
          <w:rFonts w:ascii="Times New Roman" w:hAnsi="Times New Roman" w:eastAsia="楷体"/>
          <w:b/>
          <w:kern w:val="4"/>
          <w:sz w:val="24"/>
        </w:rPr>
      </w:pPr>
      <w:r>
        <w:rPr>
          <w:rFonts w:hint="eastAsia" w:ascii="Times New Roman" w:hAnsi="Times New Roman" w:eastAsia="楷体"/>
          <w:b/>
          <w:kern w:val="4"/>
          <w:sz w:val="24"/>
        </w:rPr>
        <w:t>【专栏</w:t>
      </w:r>
      <w:r>
        <w:rPr>
          <w:rFonts w:ascii="Times New Roman" w:hAnsi="Times New Roman" w:eastAsia="楷体"/>
          <w:b/>
          <w:kern w:val="4"/>
          <w:sz w:val="24"/>
        </w:rPr>
        <w:t>：</w:t>
      </w:r>
      <w:r>
        <w:rPr>
          <w:rFonts w:hint="eastAsia" w:ascii="Times New Roman" w:hAnsi="Times New Roman" w:eastAsia="楷体"/>
          <w:b/>
          <w:kern w:val="4"/>
          <w:sz w:val="24"/>
        </w:rPr>
        <w:t>溧水区“三</w:t>
      </w:r>
      <w:r>
        <w:rPr>
          <w:rFonts w:ascii="Times New Roman" w:hAnsi="Times New Roman" w:eastAsia="楷体"/>
          <w:b/>
          <w:kern w:val="4"/>
          <w:sz w:val="24"/>
        </w:rPr>
        <w:t>城一园</w:t>
      </w:r>
      <w:r>
        <w:rPr>
          <w:rFonts w:hint="eastAsia" w:ascii="Times New Roman" w:hAnsi="Times New Roman" w:eastAsia="楷体"/>
          <w:b/>
          <w:kern w:val="4"/>
          <w:sz w:val="24"/>
        </w:rPr>
        <w:t>”定位</w:t>
      </w:r>
      <w:r>
        <w:rPr>
          <w:rFonts w:ascii="Times New Roman" w:hAnsi="Times New Roman" w:eastAsia="楷体"/>
          <w:b/>
          <w:kern w:val="4"/>
          <w:sz w:val="24"/>
        </w:rPr>
        <w:t>内涵</w:t>
      </w:r>
      <w:r>
        <w:rPr>
          <w:rFonts w:hint="eastAsia" w:ascii="Times New Roman" w:hAnsi="Times New Roman" w:eastAsia="楷体"/>
          <w:b/>
          <w:kern w:val="4"/>
          <w:sz w:val="24"/>
        </w:rPr>
        <w:t>】</w:t>
      </w:r>
    </w:p>
    <w:p>
      <w:pPr>
        <w:pBdr>
          <w:top w:val="single" w:color="auto" w:sz="4" w:space="1"/>
          <w:left w:val="single" w:color="auto" w:sz="4" w:space="4"/>
          <w:bottom w:val="single" w:color="auto" w:sz="4" w:space="1"/>
          <w:right w:val="single" w:color="auto" w:sz="4" w:space="4"/>
        </w:pBdr>
        <w:shd w:val="pct5" w:color="auto" w:fill="auto"/>
        <w:spacing w:line="360" w:lineRule="auto"/>
        <w:ind w:firstLine="420"/>
        <w:rPr>
          <w:rFonts w:ascii="楷体" w:hAnsi="楷体" w:eastAsia="楷体"/>
          <w:kern w:val="4"/>
          <w:sz w:val="21"/>
          <w:szCs w:val="21"/>
        </w:rPr>
      </w:pPr>
      <w:r>
        <w:rPr>
          <w:rFonts w:hint="eastAsia" w:ascii="楷体" w:hAnsi="楷体" w:eastAsia="楷体"/>
          <w:kern w:val="4"/>
          <w:sz w:val="21"/>
          <w:szCs w:val="21"/>
        </w:rPr>
        <w:t>根据《南京市溧水区国民经济和社会发展第十三个五年规划纲要》研究成果，溧水总体定位为南京都市区副城、宁杭发展轴上的重要节点城市，具体定位为枢纽新城、产业新城、康居新城、都市田园，着力提升功能承载力、要素集聚力、产业竞争力和区域影响力。</w:t>
      </w:r>
    </w:p>
    <w:p>
      <w:pPr>
        <w:pBdr>
          <w:top w:val="single" w:color="auto" w:sz="4" w:space="1"/>
          <w:left w:val="single" w:color="auto" w:sz="4" w:space="4"/>
          <w:bottom w:val="single" w:color="auto" w:sz="4" w:space="1"/>
          <w:right w:val="single" w:color="auto" w:sz="4" w:space="4"/>
        </w:pBdr>
        <w:shd w:val="pct5" w:color="auto" w:fill="auto"/>
        <w:spacing w:line="360" w:lineRule="auto"/>
        <w:ind w:firstLine="420"/>
        <w:rPr>
          <w:rFonts w:ascii="楷体" w:hAnsi="楷体" w:eastAsia="楷体"/>
          <w:kern w:val="4"/>
          <w:sz w:val="21"/>
          <w:szCs w:val="21"/>
        </w:rPr>
      </w:pPr>
      <w:r>
        <w:rPr>
          <w:rFonts w:hint="eastAsia" w:ascii="楷体" w:hAnsi="楷体" w:eastAsia="楷体"/>
          <w:b/>
          <w:kern w:val="4"/>
          <w:sz w:val="21"/>
          <w:szCs w:val="21"/>
        </w:rPr>
        <w:t>枢纽新城：</w:t>
      </w:r>
      <w:r>
        <w:rPr>
          <w:rFonts w:hint="eastAsia" w:ascii="楷体" w:hAnsi="楷体" w:eastAsia="楷体"/>
          <w:kern w:val="4"/>
          <w:sz w:val="21"/>
          <w:szCs w:val="21"/>
        </w:rPr>
        <w:t>发挥空港枢纽、公路枢纽、铁路枢纽的叠加优势，大力发展枢纽型经济，将枢纽设施形态转换为枢纽功能聚合，使溧水成为长三角要素流通的重要节点，进而将枢纽功能转变为枢纽经济，将地理枢纽优势转变为现实发展优势。</w:t>
      </w:r>
    </w:p>
    <w:p>
      <w:pPr>
        <w:pBdr>
          <w:top w:val="single" w:color="auto" w:sz="4" w:space="1"/>
          <w:left w:val="single" w:color="auto" w:sz="4" w:space="4"/>
          <w:bottom w:val="single" w:color="auto" w:sz="4" w:space="1"/>
          <w:right w:val="single" w:color="auto" w:sz="4" w:space="4"/>
        </w:pBdr>
        <w:shd w:val="pct5" w:color="auto" w:fill="auto"/>
        <w:spacing w:line="360" w:lineRule="auto"/>
        <w:ind w:firstLine="420"/>
        <w:rPr>
          <w:rFonts w:ascii="楷体" w:hAnsi="楷体" w:eastAsia="楷体"/>
          <w:kern w:val="4"/>
          <w:sz w:val="21"/>
          <w:szCs w:val="21"/>
        </w:rPr>
      </w:pPr>
      <w:r>
        <w:rPr>
          <w:rFonts w:hint="eastAsia" w:ascii="楷体" w:hAnsi="楷体" w:eastAsia="楷体"/>
          <w:b/>
          <w:kern w:val="4"/>
          <w:sz w:val="21"/>
          <w:szCs w:val="21"/>
        </w:rPr>
        <w:t>产业新城：</w:t>
      </w:r>
      <w:r>
        <w:rPr>
          <w:rFonts w:hint="eastAsia" w:ascii="楷体" w:hAnsi="楷体" w:eastAsia="楷体"/>
          <w:kern w:val="4"/>
          <w:sz w:val="21"/>
          <w:szCs w:val="21"/>
        </w:rPr>
        <w:t>抓住长三角产业格局重构、南京都市圈产业系统布局的重大机遇，重点推动新能源汽车、临空产业、节能环保、生物农业等新兴产业集群发展，打造高端装备制造、电子信息两个千亿级产业基地，使溧水成为南京都市圈的主要产业增长极和长三角城市群中具有显著影响力的产业新城。</w:t>
      </w:r>
    </w:p>
    <w:p>
      <w:pPr>
        <w:pBdr>
          <w:top w:val="single" w:color="auto" w:sz="4" w:space="1"/>
          <w:left w:val="single" w:color="auto" w:sz="4" w:space="4"/>
          <w:bottom w:val="single" w:color="auto" w:sz="4" w:space="1"/>
          <w:right w:val="single" w:color="auto" w:sz="4" w:space="4"/>
        </w:pBdr>
        <w:shd w:val="pct5" w:color="auto" w:fill="auto"/>
        <w:spacing w:line="360" w:lineRule="auto"/>
        <w:ind w:firstLine="420"/>
        <w:rPr>
          <w:rFonts w:ascii="楷体" w:hAnsi="楷体" w:eastAsia="楷体"/>
          <w:kern w:val="4"/>
          <w:sz w:val="21"/>
          <w:szCs w:val="21"/>
        </w:rPr>
      </w:pPr>
      <w:r>
        <w:rPr>
          <w:rFonts w:hint="eastAsia" w:ascii="楷体" w:hAnsi="楷体" w:eastAsia="楷体"/>
          <w:b/>
          <w:kern w:val="4"/>
          <w:sz w:val="21"/>
          <w:szCs w:val="21"/>
        </w:rPr>
        <w:t>康居新城：</w:t>
      </w:r>
      <w:r>
        <w:rPr>
          <w:rFonts w:hint="eastAsia" w:ascii="楷体" w:hAnsi="楷体" w:eastAsia="楷体"/>
          <w:kern w:val="4"/>
          <w:sz w:val="21"/>
          <w:szCs w:val="21"/>
        </w:rPr>
        <w:t>抓住当前高素质人口向卫星型宜业宜居城市转移的机遇，高标准建设溧水新城、空港新城，大力发展健康养老、休闲度假、商务商贸、房地产等康居产业，更好地服务本地人口和中心城市的人口疏散，促进高素质人口向溧水集聚。</w:t>
      </w:r>
    </w:p>
    <w:p>
      <w:pPr>
        <w:pBdr>
          <w:top w:val="single" w:color="auto" w:sz="4" w:space="1"/>
          <w:left w:val="single" w:color="auto" w:sz="4" w:space="4"/>
          <w:bottom w:val="single" w:color="auto" w:sz="4" w:space="1"/>
          <w:right w:val="single" w:color="auto" w:sz="4" w:space="4"/>
        </w:pBdr>
        <w:shd w:val="pct5" w:color="auto" w:fill="auto"/>
        <w:spacing w:line="360" w:lineRule="auto"/>
        <w:ind w:firstLine="420"/>
        <w:rPr>
          <w:rFonts w:ascii="楷体" w:hAnsi="楷体" w:eastAsia="楷体"/>
          <w:kern w:val="4"/>
          <w:sz w:val="21"/>
          <w:szCs w:val="21"/>
        </w:rPr>
      </w:pPr>
      <w:r>
        <w:rPr>
          <w:rFonts w:hint="eastAsia" w:ascii="楷体" w:hAnsi="楷体" w:eastAsia="楷体"/>
          <w:b/>
          <w:kern w:val="4"/>
          <w:sz w:val="21"/>
          <w:szCs w:val="21"/>
        </w:rPr>
        <w:t>都市田园：</w:t>
      </w:r>
      <w:r>
        <w:rPr>
          <w:rFonts w:hint="eastAsia" w:ascii="楷体" w:hAnsi="楷体" w:eastAsia="楷体"/>
          <w:kern w:val="4"/>
          <w:sz w:val="21"/>
          <w:szCs w:val="21"/>
        </w:rPr>
        <w:t>以高效集约的理念开发农村资产资源，以城乡统筹的理念提升农村公共服务，重点打造</w:t>
      </w:r>
      <w:r>
        <w:rPr>
          <w:rFonts w:ascii="楷体" w:hAnsi="楷体" w:eastAsia="楷体"/>
          <w:kern w:val="4"/>
          <w:sz w:val="21"/>
          <w:szCs w:val="21"/>
        </w:rPr>
        <w:t>271平方公里美丽乡村示范区，把农村片区建设成为美丽的都市田园、诗画乡村，大力发展都市田园经济，不断扩大生态休闲旅游和健康运动产业的影响力，进一步强化溧水在南京都市圈和长三角城市群中的服务功能。</w:t>
      </w:r>
    </w:p>
    <w:p>
      <w:pPr>
        <w:spacing w:beforeLines="50"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3、推进新型城镇化建设，要求溧水强化交通运输网络支撑</w:t>
      </w:r>
    </w:p>
    <w:p>
      <w:pPr>
        <w:adjustRightInd w:val="0"/>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2014年4月，国务院印发了《国家新型城镇化规划（2014-2020年）》，同年9月，国家发改委等11部委在系统内部联合印发了《国家新型城镇化综合试点方案》，江苏、安徽两省和宁波等62个城市（镇）确定列为国家新型城镇化综合试点地区。2014年7月，江苏省出台了《江苏省新型城镇化与城乡发展一体化规划(2014-2020年)》，提出要围绕全面提高城镇化质量，加快转变城镇化发展方式，以人的城镇化为核心，有序推进农业转移人口市民化；以城市群为主体形态，推动大中小城市和小城镇协调发展；以综合承载能力为支撑，提升城市可持续发展水平；以体制机制创新为保障，通过改革释放城镇化发展潜力，走以人为本、四化同步、优化布局、生态文明、文化传承的新型城镇化道路。截至2015年底，溧水区城镇化率61%，低于江苏62.5%的平均水平。</w:t>
      </w:r>
      <w:r>
        <w:rPr>
          <w:rFonts w:hint="eastAsia" w:ascii="Times New Roman" w:hAnsi="Times New Roman" w:eastAsia="仿宋_GB2312"/>
          <w:kern w:val="4"/>
          <w:sz w:val="30"/>
          <w:szCs w:val="30"/>
        </w:rPr>
        <w:t>根据</w:t>
      </w:r>
      <w:r>
        <w:rPr>
          <w:rFonts w:ascii="Times New Roman" w:hAnsi="Times New Roman" w:eastAsia="仿宋_GB2312"/>
          <w:kern w:val="4"/>
          <w:sz w:val="30"/>
          <w:szCs w:val="30"/>
        </w:rPr>
        <w:t>《</w:t>
      </w:r>
      <w:r>
        <w:rPr>
          <w:rFonts w:hint="eastAsia" w:ascii="Times New Roman" w:hAnsi="Times New Roman" w:eastAsia="仿宋_GB2312"/>
          <w:kern w:val="4"/>
          <w:sz w:val="30"/>
          <w:szCs w:val="30"/>
        </w:rPr>
        <w:t>南京市溧水区国民经济和社会发展第十三个五年规划纲要</w:t>
      </w:r>
      <w:r>
        <w:rPr>
          <w:rFonts w:ascii="Times New Roman" w:hAnsi="Times New Roman" w:eastAsia="仿宋_GB2312"/>
          <w:kern w:val="4"/>
          <w:sz w:val="30"/>
          <w:szCs w:val="30"/>
        </w:rPr>
        <w:t>》</w:t>
      </w:r>
      <w:r>
        <w:rPr>
          <w:rFonts w:hint="eastAsia" w:ascii="Times New Roman" w:hAnsi="Times New Roman" w:eastAsia="仿宋_GB2312"/>
          <w:kern w:val="4"/>
          <w:sz w:val="30"/>
          <w:szCs w:val="30"/>
        </w:rPr>
        <w:t>，</w:t>
      </w:r>
      <w:r>
        <w:rPr>
          <w:rFonts w:ascii="Times New Roman" w:hAnsi="Times New Roman" w:eastAsia="仿宋_GB2312"/>
          <w:kern w:val="4"/>
          <w:sz w:val="30"/>
          <w:szCs w:val="30"/>
        </w:rPr>
        <w:t>“</w:t>
      </w:r>
      <w:r>
        <w:rPr>
          <w:rFonts w:hint="eastAsia" w:ascii="Times New Roman" w:hAnsi="Times New Roman" w:eastAsia="仿宋_GB2312"/>
          <w:kern w:val="4"/>
          <w:sz w:val="30"/>
          <w:szCs w:val="30"/>
        </w:rPr>
        <w:t>十三五</w:t>
      </w:r>
      <w:r>
        <w:rPr>
          <w:rFonts w:ascii="Times New Roman" w:hAnsi="Times New Roman" w:eastAsia="仿宋_GB2312"/>
          <w:kern w:val="4"/>
          <w:sz w:val="30"/>
          <w:szCs w:val="30"/>
        </w:rPr>
        <w:t>”</w:t>
      </w:r>
      <w:r>
        <w:rPr>
          <w:rFonts w:hint="eastAsia" w:ascii="Times New Roman" w:hAnsi="Times New Roman" w:eastAsia="仿宋_GB2312"/>
          <w:kern w:val="4"/>
          <w:sz w:val="30"/>
          <w:szCs w:val="30"/>
        </w:rPr>
        <w:t>期间</w:t>
      </w:r>
      <w:r>
        <w:rPr>
          <w:rFonts w:ascii="Times New Roman" w:hAnsi="Times New Roman" w:eastAsia="仿宋_GB2312"/>
          <w:kern w:val="4"/>
          <w:sz w:val="30"/>
          <w:szCs w:val="30"/>
        </w:rPr>
        <w:t>，溧水</w:t>
      </w:r>
      <w:r>
        <w:rPr>
          <w:rFonts w:hint="eastAsia" w:ascii="Times New Roman" w:hAnsi="Times New Roman" w:eastAsia="仿宋_GB2312"/>
          <w:kern w:val="4"/>
          <w:sz w:val="30"/>
          <w:szCs w:val="30"/>
        </w:rPr>
        <w:t>围绕打造“三</w:t>
      </w:r>
      <w:r>
        <w:rPr>
          <w:rFonts w:ascii="Times New Roman" w:hAnsi="Times New Roman" w:eastAsia="仿宋_GB2312"/>
          <w:kern w:val="4"/>
          <w:sz w:val="30"/>
          <w:szCs w:val="30"/>
        </w:rPr>
        <w:t>城一园</w:t>
      </w:r>
      <w:r>
        <w:rPr>
          <w:rFonts w:hint="eastAsia" w:ascii="Times New Roman" w:hAnsi="Times New Roman" w:eastAsia="仿宋_GB2312"/>
          <w:kern w:val="4"/>
          <w:sz w:val="30"/>
          <w:szCs w:val="30"/>
        </w:rPr>
        <w:t>”，以人的城镇化为核心，走以提高质量和内涵为核心的新型城镇化道路。高标准</w:t>
      </w:r>
      <w:r>
        <w:rPr>
          <w:rFonts w:ascii="Times New Roman" w:hAnsi="Times New Roman" w:eastAsia="仿宋_GB2312"/>
          <w:kern w:val="4"/>
          <w:sz w:val="30"/>
          <w:szCs w:val="30"/>
        </w:rPr>
        <w:t>建设</w:t>
      </w:r>
      <w:r>
        <w:rPr>
          <w:rFonts w:hint="eastAsia" w:ascii="Times New Roman" w:hAnsi="Times New Roman" w:eastAsia="仿宋_GB2312"/>
          <w:kern w:val="4"/>
          <w:sz w:val="30"/>
          <w:szCs w:val="30"/>
        </w:rPr>
        <w:t>经济开发区</w:t>
      </w:r>
      <w:r>
        <w:rPr>
          <w:rFonts w:ascii="Times New Roman" w:hAnsi="Times New Roman" w:eastAsia="仿宋_GB2312"/>
          <w:kern w:val="4"/>
          <w:sz w:val="30"/>
          <w:szCs w:val="30"/>
        </w:rPr>
        <w:t>、</w:t>
      </w:r>
      <w:r>
        <w:rPr>
          <w:rFonts w:hint="eastAsia" w:ascii="Times New Roman" w:hAnsi="Times New Roman" w:eastAsia="仿宋_GB2312"/>
          <w:kern w:val="4"/>
          <w:sz w:val="30"/>
          <w:szCs w:val="30"/>
        </w:rPr>
        <w:t>城南</w:t>
      </w:r>
      <w:r>
        <w:rPr>
          <w:rFonts w:ascii="Times New Roman" w:hAnsi="Times New Roman" w:eastAsia="仿宋_GB2312"/>
          <w:kern w:val="4"/>
          <w:sz w:val="30"/>
          <w:szCs w:val="30"/>
        </w:rPr>
        <w:t>新区、</w:t>
      </w:r>
      <w:r>
        <w:rPr>
          <w:rFonts w:hint="eastAsia" w:ascii="Times New Roman" w:hAnsi="Times New Roman" w:eastAsia="仿宋_GB2312"/>
          <w:kern w:val="4"/>
          <w:sz w:val="30"/>
          <w:szCs w:val="30"/>
        </w:rPr>
        <w:t>白马国家</w:t>
      </w:r>
      <w:r>
        <w:rPr>
          <w:rFonts w:ascii="Times New Roman" w:hAnsi="Times New Roman" w:eastAsia="仿宋_GB2312"/>
          <w:kern w:val="4"/>
          <w:sz w:val="30"/>
          <w:szCs w:val="30"/>
        </w:rPr>
        <w:t>农业</w:t>
      </w:r>
      <w:r>
        <w:rPr>
          <w:rFonts w:hint="eastAsia" w:ascii="Times New Roman" w:hAnsi="Times New Roman" w:eastAsia="仿宋_GB2312"/>
          <w:kern w:val="4"/>
          <w:sz w:val="30"/>
          <w:szCs w:val="30"/>
        </w:rPr>
        <w:t>科技</w:t>
      </w:r>
      <w:r>
        <w:rPr>
          <w:rFonts w:ascii="Times New Roman" w:hAnsi="Times New Roman" w:eastAsia="仿宋_GB2312"/>
          <w:kern w:val="4"/>
          <w:sz w:val="30"/>
          <w:szCs w:val="30"/>
        </w:rPr>
        <w:t>园区、</w:t>
      </w:r>
      <w:r>
        <w:rPr>
          <w:rFonts w:hint="eastAsia" w:ascii="Times New Roman" w:hAnsi="Times New Roman" w:eastAsia="仿宋_GB2312"/>
          <w:kern w:val="4"/>
          <w:sz w:val="30"/>
          <w:szCs w:val="30"/>
        </w:rPr>
        <w:t>石湫影视文化</w:t>
      </w:r>
      <w:r>
        <w:rPr>
          <w:rFonts w:ascii="Times New Roman" w:hAnsi="Times New Roman" w:eastAsia="仿宋_GB2312"/>
          <w:kern w:val="4"/>
          <w:sz w:val="30"/>
          <w:szCs w:val="30"/>
        </w:rPr>
        <w:t>基地、</w:t>
      </w:r>
      <w:r>
        <w:rPr>
          <w:rFonts w:hint="eastAsia" w:ascii="Times New Roman" w:hAnsi="Times New Roman" w:eastAsia="仿宋_GB2312"/>
          <w:kern w:val="4"/>
          <w:sz w:val="30"/>
          <w:szCs w:val="30"/>
        </w:rPr>
        <w:t>高铁</w:t>
      </w:r>
      <w:r>
        <w:rPr>
          <w:rFonts w:ascii="Times New Roman" w:hAnsi="Times New Roman" w:eastAsia="仿宋_GB2312"/>
          <w:kern w:val="4"/>
          <w:sz w:val="30"/>
          <w:szCs w:val="30"/>
        </w:rPr>
        <w:t>枢纽</w:t>
      </w:r>
      <w:r>
        <w:rPr>
          <w:rFonts w:hint="eastAsia" w:ascii="Times New Roman" w:hAnsi="Times New Roman" w:eastAsia="仿宋_GB2312"/>
          <w:kern w:val="4"/>
          <w:sz w:val="30"/>
          <w:szCs w:val="30"/>
        </w:rPr>
        <w:t>经济</w:t>
      </w:r>
      <w:r>
        <w:rPr>
          <w:rFonts w:ascii="Times New Roman" w:hAnsi="Times New Roman" w:eastAsia="仿宋_GB2312"/>
          <w:kern w:val="4"/>
          <w:sz w:val="30"/>
          <w:szCs w:val="30"/>
        </w:rPr>
        <w:t>区等</w:t>
      </w:r>
      <w:r>
        <w:rPr>
          <w:rFonts w:hint="eastAsia" w:ascii="Times New Roman" w:hAnsi="Times New Roman" w:eastAsia="仿宋_GB2312"/>
          <w:kern w:val="4"/>
          <w:sz w:val="30"/>
          <w:szCs w:val="30"/>
        </w:rPr>
        <w:t>六大经济功能区；进一步</w:t>
      </w:r>
      <w:r>
        <w:rPr>
          <w:rFonts w:ascii="Times New Roman" w:hAnsi="Times New Roman" w:eastAsia="仿宋_GB2312"/>
          <w:kern w:val="4"/>
          <w:sz w:val="30"/>
          <w:szCs w:val="30"/>
        </w:rPr>
        <w:t>提升</w:t>
      </w:r>
      <w:r>
        <w:rPr>
          <w:rFonts w:hint="eastAsia" w:ascii="Times New Roman" w:hAnsi="Times New Roman" w:eastAsia="仿宋_GB2312"/>
          <w:kern w:val="4"/>
          <w:sz w:val="30"/>
          <w:szCs w:val="30"/>
        </w:rPr>
        <w:t>中心城区</w:t>
      </w:r>
      <w:r>
        <w:rPr>
          <w:rFonts w:ascii="Times New Roman" w:hAnsi="Times New Roman" w:eastAsia="仿宋_GB2312"/>
          <w:kern w:val="4"/>
          <w:sz w:val="30"/>
          <w:szCs w:val="30"/>
        </w:rPr>
        <w:t>承载力</w:t>
      </w:r>
      <w:r>
        <w:rPr>
          <w:rFonts w:hint="eastAsia" w:ascii="Times New Roman" w:hAnsi="Times New Roman" w:eastAsia="仿宋_GB2312"/>
          <w:kern w:val="4"/>
          <w:sz w:val="30"/>
          <w:szCs w:val="30"/>
        </w:rPr>
        <w:t>；扎实</w:t>
      </w:r>
      <w:r>
        <w:rPr>
          <w:rFonts w:ascii="Times New Roman" w:hAnsi="Times New Roman" w:eastAsia="仿宋_GB2312"/>
          <w:kern w:val="4"/>
          <w:sz w:val="30"/>
          <w:szCs w:val="30"/>
        </w:rPr>
        <w:t>推进</w:t>
      </w:r>
      <w:r>
        <w:rPr>
          <w:rFonts w:hint="eastAsia" w:ascii="Times New Roman" w:hAnsi="Times New Roman" w:eastAsia="仿宋_GB2312"/>
          <w:kern w:val="4"/>
          <w:sz w:val="30"/>
          <w:szCs w:val="30"/>
        </w:rPr>
        <w:t>白马、石湫、东屏三个重点新市镇，洪蓝、</w:t>
      </w:r>
      <w:r>
        <w:rPr>
          <w:rFonts w:ascii="Times New Roman" w:hAnsi="Times New Roman" w:eastAsia="仿宋_GB2312"/>
          <w:kern w:val="4"/>
          <w:sz w:val="30"/>
          <w:szCs w:val="30"/>
        </w:rPr>
        <w:t>晶桥、和凤</w:t>
      </w:r>
      <w:r>
        <w:rPr>
          <w:rFonts w:hint="eastAsia" w:ascii="Times New Roman" w:hAnsi="Times New Roman" w:eastAsia="仿宋_GB2312"/>
          <w:kern w:val="4"/>
          <w:sz w:val="30"/>
          <w:szCs w:val="30"/>
        </w:rPr>
        <w:t>三个一般</w:t>
      </w:r>
      <w:r>
        <w:rPr>
          <w:rFonts w:ascii="Times New Roman" w:hAnsi="Times New Roman" w:eastAsia="仿宋_GB2312"/>
          <w:kern w:val="4"/>
          <w:sz w:val="30"/>
          <w:szCs w:val="30"/>
        </w:rPr>
        <w:t>新市镇建设</w:t>
      </w:r>
      <w:r>
        <w:rPr>
          <w:rFonts w:hint="eastAsia" w:ascii="Times New Roman" w:hAnsi="Times New Roman" w:eastAsia="仿宋_GB2312"/>
          <w:kern w:val="4"/>
          <w:sz w:val="30"/>
          <w:szCs w:val="30"/>
        </w:rPr>
        <w:t>等。到2020年</w:t>
      </w:r>
      <w:r>
        <w:rPr>
          <w:rFonts w:ascii="Times New Roman" w:hAnsi="Times New Roman" w:eastAsia="仿宋_GB2312"/>
          <w:kern w:val="4"/>
          <w:sz w:val="30"/>
          <w:szCs w:val="30"/>
        </w:rPr>
        <w:t>，</w:t>
      </w:r>
      <w:r>
        <w:rPr>
          <w:rFonts w:hint="eastAsia" w:ascii="Times New Roman" w:hAnsi="Times New Roman" w:eastAsia="仿宋_GB2312"/>
          <w:kern w:val="4"/>
          <w:sz w:val="30"/>
          <w:szCs w:val="30"/>
        </w:rPr>
        <w:t>新型城镇化试点任务基本完成，城镇化率达到</w:t>
      </w:r>
      <w:r>
        <w:rPr>
          <w:rFonts w:ascii="Times New Roman" w:hAnsi="Times New Roman" w:eastAsia="仿宋_GB2312"/>
          <w:kern w:val="4"/>
          <w:sz w:val="30"/>
          <w:szCs w:val="30"/>
        </w:rPr>
        <w:t>75%</w:t>
      </w:r>
      <w:r>
        <w:rPr>
          <w:rFonts w:hint="eastAsia" w:ascii="Times New Roman" w:hAnsi="Times New Roman" w:eastAsia="仿宋_GB2312"/>
          <w:kern w:val="4"/>
          <w:sz w:val="30"/>
          <w:szCs w:val="30"/>
        </w:rPr>
        <w:t>。</w:t>
      </w:r>
      <w:r>
        <w:rPr>
          <w:rFonts w:ascii="Times New Roman" w:hAnsi="Times New Roman" w:eastAsia="仿宋_GB2312"/>
          <w:kern w:val="4"/>
          <w:sz w:val="30"/>
          <w:szCs w:val="30"/>
        </w:rPr>
        <w:t>随着城镇化水平提高，城市规模不断扩大，要求切实加强城市交通基础设施体系的统筹规划、建设和管理，优先发展公共交通。同时，要提升城乡交通一体化水平，缩小城乡交通基本公共服务差距，实现交通基本服务均等化。</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4、贯彻落实“五化同步”建设，要求溧水增强交通可持续发展能力</w:t>
      </w:r>
    </w:p>
    <w:p>
      <w:pPr>
        <w:adjustRightInd w:val="0"/>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党的十八大报告对推进中国特色</w:t>
      </w:r>
      <w:r>
        <w:fldChar w:fldCharType="begin"/>
      </w:r>
      <w:r>
        <w:instrText xml:space="preserve"> HYPERLINK "http://baike.baidu.com/subview/8059/4967051.htm" \t "_blank" </w:instrText>
      </w:r>
      <w:r>
        <w:fldChar w:fldCharType="separate"/>
      </w:r>
      <w:r>
        <w:rPr>
          <w:rFonts w:ascii="Times New Roman" w:hAnsi="Times New Roman" w:eastAsia="仿宋_GB2312"/>
          <w:kern w:val="4"/>
          <w:sz w:val="30"/>
          <w:szCs w:val="30"/>
        </w:rPr>
        <w:t>社会主义</w:t>
      </w:r>
      <w:r>
        <w:rPr>
          <w:rFonts w:ascii="Times New Roman" w:hAnsi="Times New Roman" w:eastAsia="仿宋_GB2312"/>
          <w:kern w:val="4"/>
          <w:sz w:val="30"/>
          <w:szCs w:val="30"/>
        </w:rPr>
        <w:fldChar w:fldCharType="end"/>
      </w:r>
      <w:r>
        <w:rPr>
          <w:rFonts w:ascii="Times New Roman" w:hAnsi="Times New Roman" w:eastAsia="仿宋_GB2312"/>
          <w:kern w:val="4"/>
          <w:sz w:val="30"/>
          <w:szCs w:val="30"/>
        </w:rPr>
        <w:t>事业做出“五位一体”总体布局。强调经济建设、政治建设、文化建设、社会建设、</w:t>
      </w:r>
      <w:r>
        <w:fldChar w:fldCharType="begin"/>
      </w:r>
      <w:r>
        <w:instrText xml:space="preserve"> HYPERLINK "http://baike.baidu.com/view/9603197.htm" \t "_blank" </w:instrText>
      </w:r>
      <w:r>
        <w:fldChar w:fldCharType="separate"/>
      </w:r>
      <w:r>
        <w:rPr>
          <w:rFonts w:ascii="Times New Roman" w:hAnsi="Times New Roman" w:eastAsia="仿宋_GB2312"/>
          <w:kern w:val="4"/>
          <w:sz w:val="30"/>
          <w:szCs w:val="30"/>
        </w:rPr>
        <w:t>生态文明建设</w:t>
      </w:r>
      <w:r>
        <w:rPr>
          <w:rFonts w:ascii="Times New Roman" w:hAnsi="Times New Roman" w:eastAsia="仿宋_GB2312"/>
          <w:kern w:val="4"/>
          <w:sz w:val="30"/>
          <w:szCs w:val="30"/>
        </w:rPr>
        <w:fldChar w:fldCharType="end"/>
      </w:r>
      <w:r>
        <w:rPr>
          <w:rFonts w:ascii="Times New Roman" w:hAnsi="Times New Roman" w:eastAsia="仿宋_GB2312"/>
          <w:kern w:val="4"/>
          <w:sz w:val="30"/>
          <w:szCs w:val="30"/>
        </w:rPr>
        <w:t>全面推进、协调发展。2015年3月中央政治局会议审议通过《关于加快推进生态文明建设的意见》，同时在十八大提出的“新型工业化、城镇化、信息化、农业现代化”基础上，着重增加了“绿色化”的发展要求。“十三五”时期，资源环境瓶颈约束依然存在，需要在全社会大力倡导节约、绿色、环保、文明的生产方式和消费模式，努力建设资源节约型和环境友好型社会，把经济社会的发展建立在优化结构、提高效益、降低消耗和保护环境的基础之上。重点加快节能环保装备应用、推进绿色循环低碳交通运输体系建设，推进多式联运、接驳运输（接驳运输通常指道路长途客运）等先进货运组织方式。溧水交通运输要按照“五化同步”的要求做好服务保障，促使未来溧水交通发展要在以往重视建设规模、发展速度的基础上，进一步强化交通发展的协调性和可持续性。</w:t>
      </w:r>
    </w:p>
    <w:p>
      <w:pPr>
        <w:spacing w:line="560" w:lineRule="exact"/>
        <w:ind w:firstLine="602"/>
        <w:rPr>
          <w:rFonts w:ascii="Times New Roman" w:hAnsi="Times New Roman" w:eastAsia="仿宋_GB2312"/>
          <w:b/>
          <w:kern w:val="4"/>
          <w:sz w:val="30"/>
          <w:szCs w:val="30"/>
        </w:rPr>
      </w:pPr>
      <w:bookmarkStart w:id="11" w:name="_Toc399186461"/>
      <w:r>
        <w:rPr>
          <w:rFonts w:ascii="Times New Roman" w:hAnsi="Times New Roman" w:eastAsia="仿宋_GB2312"/>
          <w:b/>
          <w:kern w:val="4"/>
          <w:sz w:val="30"/>
          <w:szCs w:val="30"/>
        </w:rPr>
        <w:t>5、实现交通运输基本现代化，要求溧水提升交通运输整体水平</w:t>
      </w:r>
    </w:p>
    <w:bookmarkEnd w:id="11"/>
    <w:p>
      <w:pPr>
        <w:adjustRightInd w:val="0"/>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交通运输部提出发展现代交通运输业，对江苏开展交通运输现代化建设先行先试寄予厚望。江苏省政府在2014年印发了《江苏交通运输现代化规划纲要（苏政发[2014]74号）》和《省政府关于推进交通运输现代化建设的实施意见》，明确了我省推进交通运输现代化的战略目标、重点任务和政策措施。并指出要以构建综合交通运输体系为核心，以改革创新为动力，按照“综合交通、智慧交通、绿色交通、平安交通、民生交通和法治交通”的理念，更加注重发展质量和效益，更加注重人民群众实际感受，实现综合交通网络、公众出行服务、货物与物流服务、信息技术应用能力与交通运输管理能力五个方面的现代化，为经济转型升级、为新型城镇化和城乡发展一体化、缩小区域差距提供有力支撑，为公众出行和货物运输提供更加安全、便捷、经济、高效的服务。2015年2月，南京市出台了《南京交通运输现代化实施方案》，到2020年，南京交通运输率先实现现代化，有效支撑和引导南京实现现代化进程。交通基础设施供给、运输服务质量和管理水平显著提升，先进适用的综合交通网络全面建成，便捷可靠的公众出行服务普惠民生，经济高效的货运与物流服务竞争力显著提升，安全、智能、绿色、法治等现代化交通发展理念深度融合于交通运输全过程各领域，交通运输行业改革与创新初显成效。交通运输发展水平以当前世界中等发达国家水平为标杆，发展差距显著缩小。推进交通运输现代化建设，要求在综合交通网络、公众出行、货运与物流、科技创新与信息化、交通运输治理能力等方面切实落实并完成省交通率先实现现代化的相关指标发展要求和重点建设任务，积极主动对接行业重点领域改革和创新要求。</w:t>
      </w:r>
    </w:p>
    <w:p>
      <w:pPr>
        <w:spacing w:line="960" w:lineRule="exact"/>
        <w:ind w:firstLine="0" w:firstLineChars="0"/>
        <w:outlineLvl w:val="1"/>
        <w:rPr>
          <w:rFonts w:ascii="Times New Roman" w:hAnsi="Times New Roman" w:eastAsia="黑体"/>
          <w:kern w:val="4"/>
          <w:sz w:val="32"/>
          <w:szCs w:val="28"/>
        </w:rPr>
      </w:pPr>
      <w:bookmarkStart w:id="12" w:name="_Toc438123188"/>
      <w:bookmarkStart w:id="13" w:name="_Toc429487890"/>
      <w:r>
        <w:rPr>
          <w:rFonts w:ascii="Times New Roman" w:hAnsi="Times New Roman" w:eastAsia="黑体"/>
          <w:kern w:val="4"/>
          <w:sz w:val="32"/>
          <w:szCs w:val="28"/>
        </w:rPr>
        <w:t>2.2需求预测</w:t>
      </w:r>
      <w:bookmarkEnd w:id="12"/>
      <w:bookmarkEnd w:id="13"/>
    </w:p>
    <w:p>
      <w:pPr>
        <w:spacing w:line="720" w:lineRule="exact"/>
        <w:ind w:firstLine="0" w:firstLineChars="0"/>
        <w:outlineLvl w:val="2"/>
        <w:rPr>
          <w:rFonts w:ascii="Times New Roman" w:hAnsi="Times New Roman" w:eastAsia="黑体"/>
          <w:kern w:val="4"/>
          <w:sz w:val="30"/>
          <w:szCs w:val="30"/>
        </w:rPr>
      </w:pPr>
      <w:bookmarkStart w:id="14" w:name="_Toc430076900"/>
      <w:bookmarkStart w:id="15" w:name="_Toc438123189"/>
      <w:r>
        <w:rPr>
          <w:rFonts w:ascii="Times New Roman" w:hAnsi="Times New Roman" w:eastAsia="黑体"/>
          <w:kern w:val="4"/>
          <w:sz w:val="30"/>
          <w:szCs w:val="30"/>
        </w:rPr>
        <w:t>2.2.1需求特征</w:t>
      </w:r>
      <w:bookmarkEnd w:id="14"/>
      <w:bookmarkEnd w:id="15"/>
    </w:p>
    <w:p>
      <w:pPr>
        <w:adjustRightInd w:val="0"/>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“十三五”期间溧水交通需求将呈现以下五大特征。</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1、客货运输总量保持较快增长势头</w:t>
      </w:r>
    </w:p>
    <w:p>
      <w:pPr>
        <w:adjustRightInd w:val="0"/>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随着经济的发展和人民生活水平的提高，物资、人员流通规模将全面扩大，流动速度将不断加快，居民生存出行的比例减少，弹性出行的比例增加，客、货运需求总量必将快速增长。高强度、大运量，大量短途城际交通和通勤交通，区域内外交流频繁，城乡客运一体更紧密，出行方式多样化，时效性、便捷性、舒适性、经济性要求更高。</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2、消费型运输需求比例将逐步增大</w:t>
      </w:r>
    </w:p>
    <w:p>
      <w:pPr>
        <w:adjustRightInd w:val="0"/>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城乡经济持续快速发展，人民生活水平普遍提高，交通消费结构进一步升级，商务交通出行需求大量增加，个性化出行成为一种新趋势，旅游、休闲、度假、探亲、访友等出行比例大幅度提高，旅游经济、假日经济加速发展，居民消费型出行日益增加，并带动消费型货物运输增加。</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3、高附加值产品运输比重快速上升</w:t>
      </w:r>
    </w:p>
    <w:p>
      <w:pPr>
        <w:adjustRightInd w:val="0"/>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工业化进程的加快，产业结构的优化升级，产品结构向轻重量、深加工、高附加值方向发展，单位产值的货运强度下降，溧水与东部毗邻省市的物资交流更加频繁，货物运输规模和结构发生较大变化；镇村间、城乡间的物资交流日益频繁，小批量、短距离、高效率的货物运输量也将大幅度增加。</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4、各种运输方式将进一步协调发展</w:t>
      </w:r>
    </w:p>
    <w:p>
      <w:pPr>
        <w:adjustRightInd w:val="0"/>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公路以其通达面广、机动、灵活、快速和门到门的运输优势，在短距离客运和小批量、多批次货品运输上占主导地位；水路具有运能大、运距长、能耗小、成本低、占地少、污染轻等运输优势，在对时效性要求不高的中长距离、大宗货物运输中具有明显竞争优势；铁路运输具有能力大、运输速度快、运输持续性强、对自然条件的适应性强、运输成本低、安全性能高、环境污染小等特点，在大运量城市交通以及大运量、长距离的城际交通中具有明显竞争优势。今后溧水客运仍保持公路为主，铁路为辅的发展模式；货运以公路为主，水运为辅的发展模式。</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5、运输管理服务质量要求逐步提高</w:t>
      </w:r>
    </w:p>
    <w:p>
      <w:pPr>
        <w:adjustRightInd w:val="0"/>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随着区域城市“一体化”、经济生活“信息化”、产业结构“服务化”和产品结构“高科技化”进程的加快，以及人民生活水平的提高，旅客对出行的舒适度、安全性及快捷性，货主对货物运输的方便性、快捷性和经济性的要求不断提高，长距离、快速度、高频度的客运需求将进一步增加，</w:t>
      </w:r>
      <w:bookmarkStart w:id="16" w:name="_Toc135402256"/>
      <w:bookmarkEnd w:id="16"/>
      <w:bookmarkStart w:id="17" w:name="_Toc133490186"/>
      <w:r>
        <w:rPr>
          <w:rFonts w:ascii="Times New Roman" w:hAnsi="Times New Roman" w:eastAsia="仿宋_GB2312"/>
          <w:kern w:val="4"/>
          <w:sz w:val="30"/>
          <w:szCs w:val="30"/>
        </w:rPr>
        <w:t>货运交通则更加规模化、网络化，多方式联运比例提高。</w:t>
      </w:r>
      <w:bookmarkEnd w:id="17"/>
    </w:p>
    <w:p>
      <w:pPr>
        <w:spacing w:line="720" w:lineRule="exact"/>
        <w:ind w:firstLine="0" w:firstLineChars="0"/>
        <w:outlineLvl w:val="2"/>
        <w:rPr>
          <w:rFonts w:ascii="Times New Roman" w:hAnsi="Times New Roman" w:eastAsia="黑体"/>
          <w:kern w:val="4"/>
          <w:sz w:val="30"/>
          <w:szCs w:val="30"/>
        </w:rPr>
      </w:pPr>
      <w:bookmarkStart w:id="18" w:name="_Toc145237348"/>
      <w:bookmarkEnd w:id="18"/>
      <w:bookmarkStart w:id="19" w:name="_Toc142792477"/>
      <w:bookmarkEnd w:id="19"/>
      <w:bookmarkStart w:id="20" w:name="_Toc430076901"/>
      <w:bookmarkStart w:id="21" w:name="_Toc438123190"/>
      <w:r>
        <w:rPr>
          <w:rFonts w:ascii="Times New Roman" w:hAnsi="Times New Roman" w:eastAsia="黑体"/>
          <w:kern w:val="4"/>
          <w:sz w:val="30"/>
          <w:szCs w:val="30"/>
        </w:rPr>
        <w:t>2.2.2需求预测</w:t>
      </w:r>
      <w:bookmarkEnd w:id="20"/>
      <w:bookmarkEnd w:id="21"/>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1、需求规模</w:t>
      </w:r>
    </w:p>
    <w:p>
      <w:pPr>
        <w:adjustRightInd w:val="0"/>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以历年国民经济主要指标、公路交通运输量统计数据资料为基础，采用定性分析和定量计算相结合的方法，定性分析研究溧水区综合交通运输发展现状和未来新型城镇化发展趋势，综合运用时间序列法、因素分析法、弹性系数法和综合分析法等定量研究方法，对溧水区综合交通运输量进行预测。预计到2020年，溧水区综合客运量为3752万人次，综合货运量为4538万吨。“十三五期”间，客运量和货运量的年增长率分别为5%、8%。</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2、方式分担</w:t>
      </w:r>
    </w:p>
    <w:p>
      <w:pPr>
        <w:adjustRightInd w:val="0"/>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以历年交通统计资料为基础，分析研究公路、铁路、水路技术经济特性和需求结构演化趋势，对公铁水客货分担率进行预测。到2020年，公路客运分担率为84.4%、铁路客运分担率为15.6%；公路货运分担率为77.5%、水路货运分担率为22.5%。</w:t>
      </w:r>
      <w:bookmarkStart w:id="22" w:name="_Toc129835588"/>
      <w:r>
        <w:rPr>
          <w:rFonts w:ascii="Times New Roman" w:hAnsi="Times New Roman" w:eastAsia="仿宋_GB2312"/>
          <w:kern w:val="4"/>
          <w:sz w:val="30"/>
          <w:szCs w:val="30"/>
        </w:rPr>
        <w:t>公路运输在今后相当长一段时期都将占有绝对比例，随着溧水区航道设施不断完善，水运在货物运输中将发挥重要作用</w:t>
      </w:r>
      <w:bookmarkEnd w:id="22"/>
      <w:r>
        <w:rPr>
          <w:rFonts w:ascii="Times New Roman" w:hAnsi="Times New Roman" w:eastAsia="仿宋_GB2312"/>
          <w:kern w:val="4"/>
          <w:sz w:val="30"/>
          <w:szCs w:val="30"/>
        </w:rPr>
        <w:t>。</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3、港口吞吐量</w:t>
      </w:r>
    </w:p>
    <w:p>
      <w:pPr>
        <w:adjustRightInd w:val="0"/>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“十三五”期间，随着秦淮河航道、溧水支线航道等级提升，洪蓝、柘塘作业区等开工建设，水运将会较快发展。预计2020年，港口吞吐量达</w:t>
      </w:r>
      <w:r>
        <w:rPr>
          <w:rFonts w:hint="eastAsia" w:ascii="Times New Roman" w:hAnsi="Times New Roman" w:eastAsia="仿宋_GB2312"/>
          <w:kern w:val="4"/>
          <w:sz w:val="30"/>
          <w:szCs w:val="30"/>
        </w:rPr>
        <w:t>1000</w:t>
      </w:r>
      <w:r>
        <w:rPr>
          <w:rFonts w:ascii="Times New Roman" w:hAnsi="Times New Roman" w:eastAsia="仿宋_GB2312"/>
          <w:kern w:val="4"/>
          <w:sz w:val="30"/>
          <w:szCs w:val="30"/>
        </w:rPr>
        <w:t>万吨</w:t>
      </w:r>
      <w:r>
        <w:rPr>
          <w:rFonts w:hint="eastAsia" w:ascii="Times New Roman" w:hAnsi="Times New Roman" w:eastAsia="仿宋_GB2312"/>
          <w:kern w:val="4"/>
          <w:sz w:val="30"/>
          <w:szCs w:val="30"/>
        </w:rPr>
        <w:t>，</w:t>
      </w:r>
      <w:r>
        <w:rPr>
          <w:rFonts w:ascii="Times New Roman" w:hAnsi="Times New Roman" w:eastAsia="仿宋_GB2312"/>
          <w:kern w:val="4"/>
          <w:sz w:val="30"/>
          <w:szCs w:val="30"/>
        </w:rPr>
        <w:t>“十三五”期间年增长率为</w:t>
      </w:r>
      <w:r>
        <w:rPr>
          <w:rFonts w:hint="eastAsia" w:ascii="Times New Roman" w:hAnsi="Times New Roman" w:eastAsia="仿宋_GB2312"/>
          <w:kern w:val="4"/>
          <w:sz w:val="30"/>
          <w:szCs w:val="30"/>
        </w:rPr>
        <w:t>30</w:t>
      </w:r>
      <w:r>
        <w:rPr>
          <w:rFonts w:ascii="Times New Roman" w:hAnsi="Times New Roman" w:eastAsia="仿宋_GB2312"/>
          <w:kern w:val="4"/>
          <w:sz w:val="30"/>
          <w:szCs w:val="30"/>
        </w:rPr>
        <w:t>%。</w:t>
      </w:r>
    </w:p>
    <w:p>
      <w:pPr>
        <w:spacing w:line="960" w:lineRule="exact"/>
        <w:ind w:firstLine="0" w:firstLineChars="0"/>
        <w:outlineLvl w:val="0"/>
        <w:rPr>
          <w:rFonts w:ascii="Times New Roman" w:hAnsi="Times New Roman" w:eastAsia="黑体"/>
          <w:kern w:val="4"/>
          <w:sz w:val="32"/>
          <w:szCs w:val="32"/>
          <w:highlight w:val="yellow"/>
        </w:rPr>
        <w:sectPr>
          <w:headerReference r:id="rId16" w:type="default"/>
          <w:pgSz w:w="11906" w:h="16838"/>
          <w:pgMar w:top="1701" w:right="1134" w:bottom="1418" w:left="1418" w:header="1247" w:footer="992" w:gutter="0"/>
          <w:cols w:space="425" w:num="1"/>
          <w:docGrid w:linePitch="312" w:charSpace="0"/>
        </w:sectPr>
      </w:pPr>
    </w:p>
    <w:p>
      <w:pPr>
        <w:spacing w:line="1200" w:lineRule="exact"/>
        <w:ind w:firstLine="0" w:firstLineChars="0"/>
        <w:jc w:val="center"/>
        <w:outlineLvl w:val="0"/>
        <w:rPr>
          <w:rFonts w:ascii="Times New Roman" w:hAnsi="Times New Roman" w:eastAsia="华文新魏"/>
          <w:kern w:val="4"/>
          <w:sz w:val="44"/>
          <w:szCs w:val="44"/>
        </w:rPr>
      </w:pPr>
      <w:bookmarkStart w:id="23" w:name="_Toc438123191"/>
      <w:bookmarkStart w:id="24" w:name="_Toc429487891"/>
      <w:r>
        <w:rPr>
          <w:rFonts w:ascii="Times New Roman" w:hAnsi="Times New Roman" w:eastAsia="华文新魏"/>
          <w:kern w:val="4"/>
          <w:sz w:val="44"/>
          <w:szCs w:val="44"/>
        </w:rPr>
        <w:t>第三章“十三五”发展思路</w:t>
      </w:r>
      <w:bookmarkEnd w:id="23"/>
      <w:bookmarkEnd w:id="24"/>
      <w:r>
        <w:rPr>
          <w:rFonts w:ascii="Times New Roman" w:hAnsi="Times New Roman" w:eastAsia="华文新魏"/>
          <w:kern w:val="4"/>
          <w:sz w:val="44"/>
          <w:szCs w:val="44"/>
        </w:rPr>
        <w:t>与目标</w:t>
      </w:r>
    </w:p>
    <w:p>
      <w:pPr>
        <w:spacing w:line="960" w:lineRule="exact"/>
        <w:ind w:firstLine="0" w:firstLineChars="0"/>
        <w:outlineLvl w:val="1"/>
        <w:rPr>
          <w:rFonts w:ascii="Times New Roman" w:hAnsi="Times New Roman" w:eastAsia="黑体"/>
          <w:kern w:val="4"/>
          <w:sz w:val="32"/>
          <w:szCs w:val="28"/>
        </w:rPr>
      </w:pPr>
      <w:bookmarkStart w:id="25" w:name="_Toc438123192"/>
      <w:bookmarkStart w:id="26" w:name="_Toc429487892"/>
      <w:r>
        <w:rPr>
          <w:rFonts w:ascii="Times New Roman" w:hAnsi="Times New Roman" w:eastAsia="黑体"/>
          <w:kern w:val="4"/>
          <w:sz w:val="32"/>
          <w:szCs w:val="28"/>
        </w:rPr>
        <w:t>3.1指导思想</w:t>
      </w:r>
      <w:bookmarkEnd w:id="25"/>
      <w:bookmarkEnd w:id="26"/>
    </w:p>
    <w:p>
      <w:pPr>
        <w:spacing w:line="560" w:lineRule="exact"/>
        <w:ind w:firstLine="600"/>
        <w:rPr>
          <w:rFonts w:ascii="Times New Roman" w:hAnsi="Times New Roman" w:eastAsia="仿宋_GB2312"/>
          <w:kern w:val="4"/>
          <w:sz w:val="30"/>
          <w:szCs w:val="30"/>
        </w:rPr>
      </w:pPr>
      <w:bookmarkStart w:id="27" w:name="_Toc429487893"/>
      <w:r>
        <w:rPr>
          <w:rFonts w:ascii="Times New Roman" w:hAnsi="Times New Roman" w:eastAsia="仿宋_GB2312"/>
          <w:kern w:val="4"/>
          <w:sz w:val="30"/>
          <w:szCs w:val="30"/>
        </w:rPr>
        <w:t>以科学发展观为指导，全面贯彻落实党的十八届三中、四中、五中全会精神，以及习近平总书记在江苏视察时的重要讲话精神，按照“四个全面”布局，坚持“五大发展”理念，以构建现代化的综合交通运输体系为核心，以“综合交通、智慧交通、绿色交通、平安交通、民生交通、法治交通”六个交通为抓手，以加快转变发展方式为主线，突出改革和创新双轮驱动，着力加快交通基础设施建设，着力提升交通运输服务水平，着力增强行业可持续发展能力，充分发挥交通运输先行官的作用，为建设成为“</w:t>
      </w:r>
      <w:r>
        <w:rPr>
          <w:rFonts w:hint="eastAsia" w:ascii="Times New Roman" w:hAnsi="Times New Roman" w:eastAsia="仿宋_GB2312"/>
          <w:kern w:val="4"/>
          <w:sz w:val="30"/>
          <w:szCs w:val="30"/>
        </w:rPr>
        <w:t>经济强、百姓富、环境美、社会文明程度高的</w:t>
      </w:r>
      <w:r>
        <w:rPr>
          <w:rFonts w:ascii="Times New Roman" w:hAnsi="Times New Roman" w:eastAsia="仿宋_GB2312"/>
          <w:kern w:val="4"/>
          <w:sz w:val="30"/>
          <w:szCs w:val="30"/>
        </w:rPr>
        <w:t>新溧水”提供强有力的交通运输保障。</w:t>
      </w:r>
    </w:p>
    <w:p>
      <w:pPr>
        <w:spacing w:line="960" w:lineRule="exact"/>
        <w:ind w:firstLine="0" w:firstLineChars="0"/>
        <w:outlineLvl w:val="1"/>
        <w:rPr>
          <w:rFonts w:ascii="Times New Roman" w:hAnsi="Times New Roman" w:eastAsia="黑体"/>
          <w:kern w:val="4"/>
          <w:sz w:val="32"/>
          <w:szCs w:val="28"/>
        </w:rPr>
      </w:pPr>
      <w:bookmarkStart w:id="28" w:name="_Toc438123193"/>
      <w:r>
        <w:rPr>
          <w:rFonts w:ascii="Times New Roman" w:hAnsi="Times New Roman" w:eastAsia="黑体"/>
          <w:kern w:val="4"/>
          <w:sz w:val="32"/>
          <w:szCs w:val="28"/>
        </w:rPr>
        <w:t>3.2基本原则</w:t>
      </w:r>
      <w:bookmarkEnd w:id="27"/>
      <w:bookmarkEnd w:id="28"/>
    </w:p>
    <w:p>
      <w:pPr>
        <w:spacing w:line="560" w:lineRule="exact"/>
        <w:ind w:firstLine="602"/>
        <w:rPr>
          <w:rFonts w:ascii="Times New Roman" w:hAnsi="Times New Roman" w:eastAsia="仿宋_GB2312"/>
          <w:kern w:val="4"/>
          <w:sz w:val="30"/>
          <w:szCs w:val="30"/>
        </w:rPr>
      </w:pPr>
      <w:r>
        <w:rPr>
          <w:rFonts w:hint="eastAsia" w:ascii="Times New Roman" w:hAnsi="Times New Roman" w:eastAsia="仿宋_GB2312"/>
          <w:b/>
          <w:kern w:val="4"/>
          <w:sz w:val="30"/>
          <w:szCs w:val="30"/>
        </w:rPr>
        <w:t>先行引领、创新发展</w:t>
      </w:r>
      <w:r>
        <w:rPr>
          <w:rFonts w:hint="eastAsia" w:ascii="Times New Roman" w:hAnsi="Times New Roman" w:eastAsia="仿宋_GB2312"/>
          <w:kern w:val="4"/>
          <w:sz w:val="30"/>
          <w:szCs w:val="30"/>
        </w:rPr>
        <w:t>——新常态下发展仍是第一要务，</w:t>
      </w:r>
      <w:r>
        <w:rPr>
          <w:rFonts w:ascii="Times New Roman" w:hAnsi="Times New Roman" w:eastAsia="仿宋_GB2312"/>
          <w:kern w:val="4"/>
          <w:sz w:val="30"/>
          <w:szCs w:val="30"/>
        </w:rPr>
        <w:t>继续贯彻“经济发展、交通先行”方针，</w:t>
      </w:r>
      <w:r>
        <w:rPr>
          <w:rFonts w:hint="eastAsia" w:ascii="Times New Roman" w:hAnsi="Times New Roman" w:eastAsia="仿宋_GB2312"/>
          <w:kern w:val="4"/>
          <w:sz w:val="30"/>
          <w:szCs w:val="30"/>
        </w:rPr>
        <w:t>稳中求进、合理有序地推进交通基础设施建设，充分释放现有交通基础设施能力，构建交通基础设施新网络，拓展交通发展新空间，培育交通发展新动力，开创交通引领经济社会发展新局面。</w:t>
      </w:r>
    </w:p>
    <w:p>
      <w:pPr>
        <w:spacing w:line="560" w:lineRule="exact"/>
        <w:ind w:firstLine="602"/>
        <w:rPr>
          <w:rFonts w:ascii="Times New Roman" w:hAnsi="Times New Roman" w:eastAsia="仿宋_GB2312"/>
          <w:kern w:val="4"/>
          <w:sz w:val="30"/>
          <w:szCs w:val="30"/>
        </w:rPr>
      </w:pPr>
      <w:r>
        <w:rPr>
          <w:rFonts w:hint="eastAsia" w:ascii="Times New Roman" w:hAnsi="Times New Roman" w:eastAsia="仿宋_GB2312"/>
          <w:b/>
          <w:kern w:val="4"/>
          <w:sz w:val="30"/>
          <w:szCs w:val="30"/>
        </w:rPr>
        <w:t>全面统筹、协调发展</w:t>
      </w:r>
      <w:r>
        <w:rPr>
          <w:rFonts w:hint="eastAsia" w:ascii="Times New Roman" w:hAnsi="Times New Roman" w:eastAsia="仿宋_GB2312"/>
          <w:kern w:val="4"/>
          <w:sz w:val="30"/>
          <w:szCs w:val="30"/>
        </w:rPr>
        <w:t>——主动服务产业集聚、特色小镇、旅游经济、等发展，努力推进交通运输基本公共服务均等化，促进区域、城乡交通协调发展。统筹各种运输方式发展，充分发挥各自比较优势和组合效率，促进交通运输综合发展；坚持建设、管理、养护、服务、安全并举，促进交通运输协调发展。</w:t>
      </w:r>
    </w:p>
    <w:p>
      <w:pPr>
        <w:spacing w:line="560" w:lineRule="exact"/>
        <w:ind w:firstLine="602"/>
        <w:rPr>
          <w:rFonts w:ascii="Times New Roman" w:hAnsi="Times New Roman" w:eastAsia="仿宋_GB2312"/>
          <w:kern w:val="4"/>
          <w:sz w:val="30"/>
          <w:szCs w:val="30"/>
        </w:rPr>
      </w:pPr>
      <w:r>
        <w:rPr>
          <w:rFonts w:hint="eastAsia" w:ascii="Times New Roman" w:hAnsi="Times New Roman" w:eastAsia="仿宋_GB2312"/>
          <w:b/>
          <w:kern w:val="4"/>
          <w:sz w:val="30"/>
          <w:szCs w:val="30"/>
        </w:rPr>
        <w:t>节能环保、绿色发展</w:t>
      </w:r>
      <w:r>
        <w:rPr>
          <w:rFonts w:hint="eastAsia" w:ascii="Times New Roman" w:hAnsi="Times New Roman" w:eastAsia="仿宋_GB2312"/>
          <w:kern w:val="4"/>
          <w:sz w:val="30"/>
          <w:szCs w:val="30"/>
        </w:rPr>
        <w:t>——以推进生态文明建设、转变交通运输发展方式为导向，完善综合交通运输体系。优化交通基础设施结构、运输装备结构、运输组织方式和能源消费结构。将生态文明建设融入全区交通运输发展的各领域和全过程，促进交通绿色、循环、可持续发展。</w:t>
      </w:r>
    </w:p>
    <w:p>
      <w:pPr>
        <w:spacing w:line="560" w:lineRule="exact"/>
        <w:ind w:firstLine="602"/>
        <w:rPr>
          <w:rFonts w:ascii="Times New Roman" w:hAnsi="Times New Roman" w:eastAsia="仿宋_GB2312"/>
          <w:kern w:val="4"/>
          <w:sz w:val="30"/>
          <w:szCs w:val="30"/>
        </w:rPr>
      </w:pPr>
      <w:r>
        <w:rPr>
          <w:rFonts w:hint="eastAsia" w:ascii="Times New Roman" w:hAnsi="Times New Roman" w:eastAsia="仿宋_GB2312"/>
          <w:b/>
          <w:kern w:val="4"/>
          <w:sz w:val="30"/>
          <w:szCs w:val="30"/>
        </w:rPr>
        <w:t>互联互通、开放发展</w:t>
      </w:r>
      <w:r>
        <w:rPr>
          <w:rFonts w:hint="eastAsia" w:ascii="Times New Roman" w:hAnsi="Times New Roman" w:eastAsia="仿宋_GB2312"/>
          <w:kern w:val="4"/>
          <w:sz w:val="30"/>
          <w:szCs w:val="30"/>
        </w:rPr>
        <w:t>——统筹区域和城市交通发展，完善公路网络，整合港口资源，推进轨道建设，建设综合客货枢纽，构建水陆运输通道，主动融入南京都市圈、“一带一路”、“长江经济带”交通运输系统，增强溧水参与市内省内竞争的实力。</w:t>
      </w:r>
    </w:p>
    <w:p>
      <w:pPr>
        <w:spacing w:line="560" w:lineRule="exact"/>
        <w:ind w:firstLine="602"/>
        <w:rPr>
          <w:rFonts w:ascii="Times New Roman" w:hAnsi="Times New Roman" w:eastAsia="仿宋_GB2312"/>
          <w:kern w:val="4"/>
          <w:sz w:val="30"/>
          <w:szCs w:val="30"/>
        </w:rPr>
      </w:pPr>
      <w:r>
        <w:rPr>
          <w:rFonts w:hint="eastAsia" w:ascii="Times New Roman" w:hAnsi="Times New Roman" w:eastAsia="仿宋_GB2312"/>
          <w:b/>
          <w:kern w:val="4"/>
          <w:sz w:val="30"/>
          <w:szCs w:val="30"/>
        </w:rPr>
        <w:t>以人为本、共享发展</w:t>
      </w:r>
      <w:r>
        <w:rPr>
          <w:rFonts w:hint="eastAsia" w:ascii="Times New Roman" w:hAnsi="Times New Roman" w:eastAsia="仿宋_GB2312"/>
          <w:kern w:val="4"/>
          <w:sz w:val="30"/>
          <w:szCs w:val="30"/>
        </w:rPr>
        <w:t>——坚持“以人为本、安全至上”，关注民生交通，注重资源公平与设施共享，满足各类特殊群体的多样化需求；强化安全治理体系建设，全面提高交通运输安全生产水平和应对自然灾害、突发事件的快速反应和应急处置能力；强化行业队伍建设，提升行业文化软实力。</w:t>
      </w:r>
    </w:p>
    <w:p>
      <w:pPr>
        <w:spacing w:line="960" w:lineRule="exact"/>
        <w:ind w:firstLine="0" w:firstLineChars="0"/>
        <w:outlineLvl w:val="1"/>
        <w:rPr>
          <w:rFonts w:ascii="Times New Roman" w:hAnsi="Times New Roman" w:eastAsia="黑体"/>
          <w:kern w:val="4"/>
          <w:sz w:val="32"/>
          <w:szCs w:val="28"/>
        </w:rPr>
      </w:pPr>
      <w:bookmarkStart w:id="29" w:name="_Toc438123194"/>
      <w:bookmarkStart w:id="30" w:name="_Toc429487894"/>
      <w:r>
        <w:rPr>
          <w:rFonts w:ascii="Times New Roman" w:hAnsi="Times New Roman" w:eastAsia="黑体"/>
          <w:kern w:val="4"/>
          <w:sz w:val="32"/>
          <w:szCs w:val="28"/>
        </w:rPr>
        <w:t>3.3发展目标</w:t>
      </w:r>
      <w:bookmarkEnd w:id="29"/>
      <w:bookmarkEnd w:id="30"/>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1、总体目标</w:t>
      </w:r>
    </w:p>
    <w:p>
      <w:pPr>
        <w:spacing w:line="560" w:lineRule="exact"/>
        <w:ind w:firstLine="600"/>
        <w:rPr>
          <w:rFonts w:ascii="Times New Roman" w:hAnsi="Times New Roman" w:eastAsia="仿宋_GB2312"/>
          <w:kern w:val="4"/>
          <w:sz w:val="30"/>
          <w:szCs w:val="30"/>
        </w:rPr>
      </w:pPr>
      <w:r>
        <w:rPr>
          <w:rFonts w:hint="eastAsia" w:ascii="Times New Roman" w:hAnsi="Times New Roman" w:eastAsia="仿宋_GB2312"/>
          <w:kern w:val="4"/>
          <w:sz w:val="30"/>
          <w:szCs w:val="30"/>
        </w:rPr>
        <w:t>到2020年，</w:t>
      </w:r>
      <w:r>
        <w:rPr>
          <w:rFonts w:ascii="Times New Roman" w:hAnsi="Times New Roman" w:eastAsia="仿宋_GB2312"/>
          <w:kern w:val="4"/>
          <w:sz w:val="30"/>
          <w:szCs w:val="30"/>
        </w:rPr>
        <w:t>初步建成</w:t>
      </w:r>
      <w:r>
        <w:rPr>
          <w:rFonts w:hint="eastAsia" w:ascii="Times New Roman" w:hAnsi="Times New Roman" w:eastAsia="仿宋_GB2312"/>
          <w:kern w:val="4"/>
          <w:sz w:val="30"/>
          <w:szCs w:val="30"/>
        </w:rPr>
        <w:t>安全便捷、畅达高效、绿色智能</w:t>
      </w:r>
      <w:r>
        <w:rPr>
          <w:rFonts w:ascii="Times New Roman" w:hAnsi="Times New Roman" w:eastAsia="仿宋_GB2312"/>
          <w:kern w:val="4"/>
          <w:sz w:val="30"/>
          <w:szCs w:val="30"/>
        </w:rPr>
        <w:t>的现代综合交通运输体系</w:t>
      </w:r>
      <w:r>
        <w:rPr>
          <w:rFonts w:hint="eastAsia" w:ascii="Times New Roman" w:hAnsi="Times New Roman" w:eastAsia="仿宋_GB2312"/>
          <w:kern w:val="4"/>
          <w:sz w:val="30"/>
          <w:szCs w:val="30"/>
        </w:rPr>
        <w:t>。空港枢纽、高铁枢纽、高速枢纽的叠加优势充分</w:t>
      </w:r>
      <w:r>
        <w:rPr>
          <w:rFonts w:ascii="Times New Roman" w:hAnsi="Times New Roman" w:eastAsia="仿宋_GB2312"/>
          <w:kern w:val="4"/>
          <w:sz w:val="30"/>
          <w:szCs w:val="30"/>
        </w:rPr>
        <w:t>利用</w:t>
      </w:r>
      <w:r>
        <w:rPr>
          <w:rFonts w:hint="eastAsia" w:ascii="Times New Roman" w:hAnsi="Times New Roman" w:eastAsia="仿宋_GB2312"/>
          <w:kern w:val="4"/>
          <w:sz w:val="30"/>
          <w:szCs w:val="30"/>
        </w:rPr>
        <w:t>，</w:t>
      </w:r>
      <w:r>
        <w:rPr>
          <w:rFonts w:ascii="Times New Roman" w:hAnsi="Times New Roman" w:eastAsia="仿宋_GB2312"/>
          <w:kern w:val="4"/>
          <w:sz w:val="30"/>
          <w:szCs w:val="30"/>
        </w:rPr>
        <w:t>交通区位优势显著提升。</w:t>
      </w:r>
      <w:r>
        <w:rPr>
          <w:rFonts w:hint="eastAsia" w:ascii="Times New Roman" w:hAnsi="Times New Roman" w:eastAsia="仿宋_GB2312"/>
          <w:kern w:val="4"/>
          <w:sz w:val="30"/>
          <w:szCs w:val="30"/>
        </w:rPr>
        <w:t>轨道S7、S1顺利</w:t>
      </w:r>
      <w:r>
        <w:rPr>
          <w:rFonts w:ascii="Times New Roman" w:hAnsi="Times New Roman" w:eastAsia="仿宋_GB2312"/>
          <w:kern w:val="4"/>
          <w:sz w:val="30"/>
          <w:szCs w:val="30"/>
        </w:rPr>
        <w:t>通车，</w:t>
      </w:r>
      <w:r>
        <w:rPr>
          <w:rFonts w:hint="eastAsia" w:ascii="Times New Roman" w:hAnsi="Times New Roman" w:eastAsia="仿宋_GB2312"/>
          <w:kern w:val="4"/>
          <w:sz w:val="30"/>
          <w:szCs w:val="30"/>
        </w:rPr>
        <w:t>轨道</w:t>
      </w:r>
      <w:r>
        <w:rPr>
          <w:rFonts w:ascii="Times New Roman" w:hAnsi="Times New Roman" w:eastAsia="仿宋_GB2312"/>
          <w:kern w:val="4"/>
          <w:sz w:val="30"/>
          <w:szCs w:val="30"/>
        </w:rPr>
        <w:t>公交慢行三网不断融合，</w:t>
      </w:r>
      <w:r>
        <w:rPr>
          <w:rFonts w:hint="eastAsia" w:ascii="Times New Roman" w:hAnsi="Times New Roman" w:eastAsia="仿宋_GB2312"/>
          <w:kern w:val="4"/>
          <w:sz w:val="30"/>
          <w:szCs w:val="30"/>
        </w:rPr>
        <w:t>“</w:t>
      </w:r>
      <w:r>
        <w:rPr>
          <w:rFonts w:ascii="Times New Roman" w:hAnsi="Times New Roman" w:eastAsia="仿宋_GB2312"/>
          <w:kern w:val="4"/>
          <w:sz w:val="30"/>
          <w:szCs w:val="30"/>
        </w:rPr>
        <w:t>两纵两横</w:t>
      </w:r>
      <w:r>
        <w:rPr>
          <w:rFonts w:hint="eastAsia" w:ascii="Times New Roman" w:hAnsi="Times New Roman" w:eastAsia="仿宋_GB2312"/>
          <w:kern w:val="4"/>
          <w:sz w:val="30"/>
          <w:szCs w:val="30"/>
        </w:rPr>
        <w:t>”</w:t>
      </w:r>
      <w:r>
        <w:rPr>
          <w:rFonts w:ascii="Times New Roman" w:hAnsi="Times New Roman" w:eastAsia="仿宋_GB2312"/>
          <w:kern w:val="4"/>
          <w:sz w:val="30"/>
          <w:szCs w:val="30"/>
        </w:rPr>
        <w:t>高速公路网全面形成，“两纵四横”普通国省干线公路网全部建成</w:t>
      </w:r>
      <w:r>
        <w:rPr>
          <w:rFonts w:hint="eastAsia" w:ascii="Times New Roman" w:hAnsi="Times New Roman" w:eastAsia="仿宋_GB2312"/>
          <w:kern w:val="4"/>
          <w:sz w:val="30"/>
          <w:szCs w:val="30"/>
        </w:rPr>
        <w:t>，</w:t>
      </w:r>
      <w:r>
        <w:rPr>
          <w:rFonts w:ascii="Times New Roman" w:hAnsi="Times New Roman" w:eastAsia="仿宋_GB2312"/>
          <w:kern w:val="4"/>
          <w:sz w:val="30"/>
          <w:szCs w:val="30"/>
        </w:rPr>
        <w:t>农村公路</w:t>
      </w:r>
      <w:r>
        <w:rPr>
          <w:rFonts w:hint="eastAsia" w:ascii="Times New Roman" w:hAnsi="Times New Roman" w:eastAsia="仿宋_GB2312"/>
          <w:kern w:val="4"/>
          <w:sz w:val="30"/>
          <w:szCs w:val="30"/>
        </w:rPr>
        <w:t>提档</w:t>
      </w:r>
      <w:r>
        <w:rPr>
          <w:rFonts w:ascii="Times New Roman" w:hAnsi="Times New Roman" w:eastAsia="仿宋_GB2312"/>
          <w:kern w:val="4"/>
          <w:sz w:val="30"/>
          <w:szCs w:val="30"/>
        </w:rPr>
        <w:t>升级工程稳步推进</w:t>
      </w:r>
      <w:r>
        <w:rPr>
          <w:rFonts w:hint="eastAsia" w:ascii="Times New Roman" w:hAnsi="Times New Roman" w:eastAsia="仿宋_GB2312"/>
          <w:kern w:val="4"/>
          <w:sz w:val="30"/>
          <w:szCs w:val="30"/>
        </w:rPr>
        <w:t>，</w:t>
      </w:r>
      <w:r>
        <w:rPr>
          <w:rFonts w:ascii="Times New Roman" w:hAnsi="Times New Roman" w:eastAsia="仿宋_GB2312"/>
          <w:kern w:val="4"/>
          <w:sz w:val="30"/>
          <w:szCs w:val="30"/>
        </w:rPr>
        <w:t>秦淮河航道</w:t>
      </w:r>
      <w:r>
        <w:rPr>
          <w:rFonts w:hint="eastAsia" w:ascii="Times New Roman" w:hAnsi="Times New Roman" w:eastAsia="仿宋_GB2312"/>
          <w:kern w:val="4"/>
          <w:sz w:val="30"/>
          <w:szCs w:val="30"/>
        </w:rPr>
        <w:t>及</w:t>
      </w:r>
      <w:r>
        <w:rPr>
          <w:rFonts w:ascii="Times New Roman" w:hAnsi="Times New Roman" w:eastAsia="仿宋_GB2312"/>
          <w:kern w:val="4"/>
          <w:sz w:val="30"/>
          <w:szCs w:val="30"/>
        </w:rPr>
        <w:t>溧水支线四级航道</w:t>
      </w:r>
      <w:r>
        <w:rPr>
          <w:rFonts w:hint="eastAsia" w:ascii="Times New Roman" w:hAnsi="Times New Roman" w:eastAsia="仿宋_GB2312"/>
          <w:kern w:val="4"/>
          <w:sz w:val="30"/>
          <w:szCs w:val="30"/>
        </w:rPr>
        <w:t>整治</w:t>
      </w:r>
      <w:r>
        <w:rPr>
          <w:rFonts w:ascii="Times New Roman" w:hAnsi="Times New Roman" w:eastAsia="仿宋_GB2312"/>
          <w:kern w:val="4"/>
          <w:sz w:val="30"/>
          <w:szCs w:val="30"/>
        </w:rPr>
        <w:t>工程（包括溧水支线）</w:t>
      </w:r>
      <w:r>
        <w:rPr>
          <w:rFonts w:hint="eastAsia" w:ascii="Times New Roman" w:hAnsi="Times New Roman" w:eastAsia="仿宋_GB2312"/>
          <w:kern w:val="4"/>
          <w:sz w:val="30"/>
          <w:szCs w:val="30"/>
        </w:rPr>
        <w:t>全面</w:t>
      </w:r>
      <w:r>
        <w:rPr>
          <w:rFonts w:ascii="Times New Roman" w:hAnsi="Times New Roman" w:eastAsia="仿宋_GB2312"/>
          <w:kern w:val="4"/>
          <w:sz w:val="30"/>
          <w:szCs w:val="30"/>
        </w:rPr>
        <w:t>完成</w:t>
      </w:r>
      <w:r>
        <w:rPr>
          <w:rFonts w:hint="eastAsia" w:ascii="Times New Roman" w:hAnsi="Times New Roman" w:eastAsia="仿宋_GB2312"/>
          <w:kern w:val="4"/>
          <w:sz w:val="30"/>
          <w:szCs w:val="30"/>
        </w:rPr>
        <w:t>，镇宣高铁</w:t>
      </w:r>
      <w:r>
        <w:rPr>
          <w:rFonts w:ascii="Times New Roman" w:hAnsi="Times New Roman" w:eastAsia="仿宋_GB2312"/>
          <w:kern w:val="4"/>
          <w:sz w:val="30"/>
          <w:szCs w:val="30"/>
        </w:rPr>
        <w:t>力争开工建设</w:t>
      </w:r>
      <w:r>
        <w:rPr>
          <w:rFonts w:hint="eastAsia" w:ascii="Times New Roman" w:hAnsi="Times New Roman" w:eastAsia="仿宋_GB2312"/>
          <w:kern w:val="4"/>
          <w:sz w:val="30"/>
          <w:szCs w:val="30"/>
        </w:rPr>
        <w:t>，通用机场谋划成形。</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2、具体目标</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（1）基础设施</w:t>
      </w:r>
    </w:p>
    <w:p>
      <w:pPr>
        <w:spacing w:line="560" w:lineRule="exact"/>
        <w:ind w:firstLine="602"/>
        <w:rPr>
          <w:rFonts w:ascii="Times New Roman" w:hAnsi="Times New Roman" w:eastAsia="仿宋_GB2312"/>
          <w:kern w:val="4"/>
          <w:sz w:val="30"/>
          <w:szCs w:val="30"/>
        </w:rPr>
      </w:pPr>
      <w:r>
        <w:rPr>
          <w:rFonts w:ascii="Times New Roman" w:hAnsi="Times New Roman" w:eastAsia="仿宋_GB2312"/>
          <w:b/>
          <w:kern w:val="4"/>
          <w:sz w:val="30"/>
          <w:szCs w:val="30"/>
        </w:rPr>
        <w:t>规模进一步扩大。</w:t>
      </w:r>
      <w:r>
        <w:rPr>
          <w:rFonts w:ascii="Times New Roman" w:hAnsi="Times New Roman" w:eastAsia="仿宋_GB2312"/>
          <w:kern w:val="4"/>
          <w:sz w:val="30"/>
          <w:szCs w:val="30"/>
        </w:rPr>
        <w:t>到2020年，溧水公路网总里程增加223公里，总里程达</w:t>
      </w:r>
      <w:r>
        <w:rPr>
          <w:rFonts w:hint="eastAsia" w:ascii="Times New Roman" w:hAnsi="Times New Roman" w:eastAsia="仿宋_GB2312"/>
          <w:kern w:val="4"/>
          <w:sz w:val="30"/>
          <w:szCs w:val="30"/>
        </w:rPr>
        <w:t>到</w:t>
      </w:r>
      <w:r>
        <w:rPr>
          <w:rFonts w:ascii="Times New Roman" w:hAnsi="Times New Roman" w:eastAsia="仿宋_GB2312"/>
          <w:kern w:val="4"/>
          <w:sz w:val="30"/>
          <w:szCs w:val="30"/>
        </w:rPr>
        <w:t>1991公里。“两纵两横”高速公路网全面形成，里程由104.86公里增加到106.86公里；“两纵四横”普通国省干线公路网全部建成，新增里程61.88公里，全面覆盖重点中心镇、省级以上经济开发区、4A级以上景区和主要交通节点；农村公路通达度进一步提高，新改建规模466公里，基本实现城乡交通网络化一体化。</w:t>
      </w:r>
      <w:r>
        <w:rPr>
          <w:rFonts w:hint="eastAsia" w:ascii="Times New Roman" w:hAnsi="Times New Roman" w:eastAsia="仿宋_GB2312"/>
          <w:kern w:val="4"/>
          <w:sz w:val="30"/>
          <w:szCs w:val="30"/>
        </w:rPr>
        <w:t>轨道交通规模新增</w:t>
      </w:r>
      <w:r>
        <w:rPr>
          <w:rFonts w:ascii="Times New Roman" w:hAnsi="Times New Roman" w:eastAsia="仿宋_GB2312"/>
          <w:kern w:val="4"/>
          <w:sz w:val="30"/>
          <w:szCs w:val="30"/>
        </w:rPr>
        <w:t>45.7公里，达到74.74公里。</w:t>
      </w:r>
    </w:p>
    <w:p>
      <w:pPr>
        <w:spacing w:line="560" w:lineRule="exact"/>
        <w:ind w:firstLine="602"/>
        <w:rPr>
          <w:rFonts w:ascii="Times New Roman" w:hAnsi="Times New Roman" w:eastAsia="仿宋_GB2312"/>
          <w:kern w:val="4"/>
          <w:sz w:val="30"/>
          <w:szCs w:val="30"/>
        </w:rPr>
      </w:pPr>
      <w:r>
        <w:rPr>
          <w:rFonts w:ascii="Times New Roman" w:hAnsi="Times New Roman" w:eastAsia="仿宋_GB2312"/>
          <w:b/>
          <w:kern w:val="4"/>
          <w:sz w:val="30"/>
          <w:szCs w:val="30"/>
        </w:rPr>
        <w:t>等级进一步提升。</w:t>
      </w:r>
      <w:r>
        <w:rPr>
          <w:rFonts w:ascii="Times New Roman" w:hAnsi="Times New Roman" w:eastAsia="仿宋_GB2312"/>
          <w:kern w:val="4"/>
          <w:sz w:val="30"/>
          <w:szCs w:val="30"/>
        </w:rPr>
        <w:t>公路方面：到2020年，溧水二级以上公路总里程由390公里增加到513公里左右。镇村公交配套道路与桥梁改造全部完成；县道、乡道及通镇村公交线路的村道安全隐患治理率达100%；居民集中居住点有等级公路通达。水运方面：建成溧水境内46.2公里秦淮河航道四级航道工程（包括溧水支线）。</w:t>
      </w:r>
    </w:p>
    <w:p>
      <w:pPr>
        <w:spacing w:line="560" w:lineRule="exact"/>
        <w:ind w:firstLine="602"/>
        <w:rPr>
          <w:rFonts w:ascii="Times New Roman" w:hAnsi="Times New Roman" w:eastAsia="仿宋_GB2312"/>
          <w:kern w:val="4"/>
          <w:sz w:val="30"/>
          <w:szCs w:val="30"/>
        </w:rPr>
      </w:pPr>
      <w:r>
        <w:rPr>
          <w:rFonts w:ascii="Times New Roman" w:hAnsi="Times New Roman" w:eastAsia="仿宋_GB2312"/>
          <w:b/>
          <w:kern w:val="4"/>
          <w:sz w:val="30"/>
          <w:szCs w:val="30"/>
        </w:rPr>
        <w:t>时效进一步提高。</w:t>
      </w:r>
      <w:r>
        <w:rPr>
          <w:rFonts w:ascii="Times New Roman" w:hAnsi="Times New Roman" w:eastAsia="仿宋_GB2312"/>
          <w:kern w:val="4"/>
          <w:sz w:val="30"/>
          <w:szCs w:val="30"/>
        </w:rPr>
        <w:t>到2020年，形成溧水区各乡镇5分钟内到达国省县干线公路、15分钟内上高速公路、各乡镇之间出行时间不超过45分钟、任意两个村之间60分钟互通的1小时全区交通圈。通过高速公路、城际铁路、普通国省干线公路，形成至宣城、镇江、芜湖等周边地市1小时交通圈，至上海、杭州、无锡、苏州等城市2小时交通圈。</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（2）运输服务</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形成“公共优先、选择多样”的客运服务体系</w:t>
      </w:r>
      <w:r>
        <w:rPr>
          <w:rFonts w:hint="eastAsia" w:ascii="Times New Roman" w:hAnsi="Times New Roman" w:eastAsia="仿宋_GB2312"/>
          <w:kern w:val="4"/>
          <w:sz w:val="30"/>
          <w:szCs w:val="30"/>
        </w:rPr>
        <w:t>，努力推进城际公路客运转型，发展</w:t>
      </w:r>
      <w:r>
        <w:rPr>
          <w:rFonts w:ascii="Times New Roman" w:hAnsi="Times New Roman" w:eastAsia="仿宋_GB2312"/>
          <w:kern w:val="4"/>
          <w:sz w:val="30"/>
          <w:szCs w:val="30"/>
        </w:rPr>
        <w:t>更具</w:t>
      </w:r>
      <w:r>
        <w:rPr>
          <w:rFonts w:hint="eastAsia" w:ascii="Times New Roman" w:hAnsi="Times New Roman" w:eastAsia="仿宋_GB2312"/>
          <w:kern w:val="4"/>
          <w:sz w:val="30"/>
          <w:szCs w:val="30"/>
        </w:rPr>
        <w:t>品质的城市公交和更加便捷的城乡公交</w:t>
      </w:r>
      <w:r>
        <w:rPr>
          <w:rFonts w:ascii="Times New Roman" w:hAnsi="Times New Roman" w:eastAsia="仿宋_GB2312"/>
          <w:kern w:val="4"/>
          <w:sz w:val="30"/>
          <w:szCs w:val="30"/>
        </w:rPr>
        <w:t>。</w:t>
      </w:r>
      <w:r>
        <w:rPr>
          <w:rFonts w:hint="eastAsia" w:ascii="Times New Roman" w:hAnsi="Times New Roman" w:eastAsia="仿宋_GB2312"/>
          <w:kern w:val="4"/>
          <w:sz w:val="30"/>
          <w:szCs w:val="30"/>
        </w:rPr>
        <w:t>城市公交方面，积极推动轨道、公交、慢行“三网融合”，重点优化公交线路、打造轨道站点换乘枢纽，实现无缝衔接。</w:t>
      </w:r>
      <w:r>
        <w:rPr>
          <w:rFonts w:ascii="Times New Roman" w:hAnsi="Times New Roman" w:eastAsia="仿宋_GB2312"/>
          <w:kern w:val="4"/>
          <w:sz w:val="30"/>
          <w:szCs w:val="30"/>
        </w:rPr>
        <w:t>到2020年，城市主城区公共交通站点500米覆盖率达到100%，城市公共交通分担率达到18%以上，每万人拥有公交车达到12标台以上</w:t>
      </w:r>
      <w:r>
        <w:rPr>
          <w:rFonts w:hint="eastAsia" w:ascii="Times New Roman" w:hAnsi="Times New Roman" w:eastAsia="仿宋_GB2312"/>
          <w:kern w:val="4"/>
          <w:sz w:val="30"/>
          <w:szCs w:val="30"/>
        </w:rPr>
        <w:t>。城乡公交方面，为促</w:t>
      </w:r>
      <w:r>
        <w:rPr>
          <w:rFonts w:ascii="Times New Roman" w:hAnsi="Times New Roman" w:eastAsia="仿宋_GB2312"/>
          <w:kern w:val="4"/>
          <w:sz w:val="30"/>
          <w:szCs w:val="30"/>
        </w:rPr>
        <w:t>进城乡客运与其他客运系统</w:t>
      </w:r>
      <w:r>
        <w:rPr>
          <w:rFonts w:hint="eastAsia" w:ascii="Times New Roman" w:hAnsi="Times New Roman" w:eastAsia="仿宋_GB2312"/>
          <w:kern w:val="4"/>
          <w:sz w:val="30"/>
          <w:szCs w:val="30"/>
        </w:rPr>
        <w:t>无缝</w:t>
      </w:r>
      <w:r>
        <w:rPr>
          <w:rFonts w:ascii="Times New Roman" w:hAnsi="Times New Roman" w:eastAsia="仿宋_GB2312"/>
          <w:kern w:val="4"/>
          <w:sz w:val="30"/>
          <w:szCs w:val="30"/>
        </w:rPr>
        <w:t>衔接</w:t>
      </w:r>
      <w:r>
        <w:rPr>
          <w:rFonts w:hint="eastAsia" w:ascii="Times New Roman" w:hAnsi="Times New Roman" w:eastAsia="仿宋_GB2312"/>
          <w:kern w:val="4"/>
          <w:sz w:val="30"/>
          <w:szCs w:val="30"/>
        </w:rPr>
        <w:t>，</w:t>
      </w:r>
      <w:r>
        <w:rPr>
          <w:rFonts w:ascii="Times New Roman" w:hAnsi="Times New Roman" w:eastAsia="仿宋_GB2312"/>
          <w:kern w:val="4"/>
          <w:sz w:val="30"/>
          <w:szCs w:val="30"/>
        </w:rPr>
        <w:t>新建石湫（塘窦村）、白马（共和）、和凤</w:t>
      </w:r>
      <w:r>
        <w:rPr>
          <w:rFonts w:hint="eastAsia" w:ascii="Times New Roman" w:hAnsi="Times New Roman" w:eastAsia="仿宋_GB2312"/>
          <w:kern w:val="4"/>
          <w:sz w:val="30"/>
          <w:szCs w:val="30"/>
        </w:rPr>
        <w:t>、东</w:t>
      </w:r>
      <w:r>
        <w:rPr>
          <w:rFonts w:ascii="Times New Roman" w:hAnsi="Times New Roman" w:eastAsia="仿宋_GB2312"/>
          <w:kern w:val="4"/>
          <w:sz w:val="30"/>
          <w:szCs w:val="30"/>
        </w:rPr>
        <w:t>屏等</w:t>
      </w:r>
      <w:r>
        <w:rPr>
          <w:rFonts w:hint="eastAsia" w:ascii="Times New Roman" w:hAnsi="Times New Roman" w:eastAsia="仿宋_GB2312"/>
          <w:kern w:val="4"/>
          <w:sz w:val="30"/>
          <w:szCs w:val="30"/>
        </w:rPr>
        <w:t>农村</w:t>
      </w:r>
      <w:r>
        <w:rPr>
          <w:rFonts w:ascii="Times New Roman" w:hAnsi="Times New Roman" w:eastAsia="仿宋_GB2312"/>
          <w:kern w:val="4"/>
          <w:sz w:val="30"/>
          <w:szCs w:val="30"/>
        </w:rPr>
        <w:t>客运站</w:t>
      </w:r>
      <w:r>
        <w:rPr>
          <w:rFonts w:hint="eastAsia" w:ascii="Times New Roman" w:hAnsi="Times New Roman" w:eastAsia="仿宋_GB2312"/>
          <w:kern w:val="4"/>
          <w:sz w:val="30"/>
          <w:szCs w:val="30"/>
        </w:rPr>
        <w:t>。</w:t>
      </w:r>
    </w:p>
    <w:p>
      <w:pPr>
        <w:spacing w:line="560" w:lineRule="exact"/>
        <w:ind w:firstLine="600"/>
        <w:rPr>
          <w:rFonts w:ascii="Times New Roman" w:hAnsi="Times New Roman" w:eastAsia="仿宋_GB2312"/>
          <w:kern w:val="4"/>
          <w:sz w:val="30"/>
          <w:szCs w:val="30"/>
        </w:rPr>
      </w:pPr>
      <w:r>
        <w:rPr>
          <w:rFonts w:hint="eastAsia" w:ascii="Times New Roman" w:hAnsi="Times New Roman" w:eastAsia="仿宋_GB2312"/>
          <w:kern w:val="4"/>
          <w:sz w:val="30"/>
          <w:szCs w:val="30"/>
        </w:rPr>
        <w:t>形成</w:t>
      </w:r>
      <w:r>
        <w:rPr>
          <w:rFonts w:ascii="Times New Roman" w:hAnsi="Times New Roman" w:eastAsia="仿宋_GB2312"/>
          <w:kern w:val="4"/>
          <w:sz w:val="30"/>
          <w:szCs w:val="30"/>
        </w:rPr>
        <w:t>“经济便捷，衔接顺畅”的货运服务体系。加快禄口空港物流园区</w:t>
      </w:r>
      <w:r>
        <w:rPr>
          <w:rFonts w:hint="eastAsia" w:ascii="Times New Roman" w:hAnsi="Times New Roman" w:eastAsia="仿宋_GB2312"/>
          <w:kern w:val="4"/>
          <w:sz w:val="30"/>
          <w:szCs w:val="30"/>
        </w:rPr>
        <w:t>等物流基地建设；围绕禄口机场、溧水站、溧水港口作业区</w:t>
      </w:r>
      <w:r>
        <w:rPr>
          <w:rFonts w:ascii="Times New Roman" w:hAnsi="Times New Roman" w:eastAsia="仿宋_GB2312"/>
          <w:kern w:val="4"/>
          <w:sz w:val="30"/>
          <w:szCs w:val="30"/>
        </w:rPr>
        <w:t>，</w:t>
      </w:r>
      <w:r>
        <w:rPr>
          <w:rFonts w:hint="eastAsia" w:ascii="Times New Roman" w:hAnsi="Times New Roman" w:eastAsia="仿宋_GB2312"/>
          <w:kern w:val="4"/>
          <w:sz w:val="30"/>
          <w:szCs w:val="30"/>
        </w:rPr>
        <w:t>积极发展陆空、公铁、公水等多式联运；至2020年，</w:t>
      </w:r>
      <w:r>
        <w:rPr>
          <w:rFonts w:ascii="Times New Roman" w:hAnsi="Times New Roman" w:eastAsia="仿宋_GB2312"/>
          <w:kern w:val="4"/>
          <w:sz w:val="30"/>
          <w:szCs w:val="30"/>
        </w:rPr>
        <w:t>全区全社会总物流费用与GDP的比率下降至14%</w:t>
      </w:r>
      <w:r>
        <w:rPr>
          <w:rFonts w:hint="eastAsia" w:ascii="Times New Roman" w:hAnsi="Times New Roman" w:eastAsia="仿宋_GB2312"/>
          <w:kern w:val="4"/>
          <w:sz w:val="30"/>
          <w:szCs w:val="30"/>
        </w:rPr>
        <w:t>。</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（3）行业管理</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形成“服务高效、保障有力”的行业管理服务体系。以科技信息为手段，安全畅通为目标</w:t>
      </w:r>
      <w:r>
        <w:rPr>
          <w:rFonts w:hint="eastAsia" w:ascii="Times New Roman" w:hAnsi="Times New Roman" w:eastAsia="仿宋_GB2312"/>
          <w:kern w:val="4"/>
          <w:sz w:val="30"/>
          <w:szCs w:val="30"/>
        </w:rPr>
        <w:t>，</w:t>
      </w:r>
      <w:r>
        <w:rPr>
          <w:rFonts w:ascii="Times New Roman" w:hAnsi="Times New Roman" w:eastAsia="仿宋_GB2312"/>
          <w:kern w:val="4"/>
          <w:sz w:val="30"/>
          <w:szCs w:val="30"/>
        </w:rPr>
        <w:t>以法制健全为保障，以节能环保为动力，大力推进“智慧交通”、“平安交通”、“绿色交通”、“法治交通”建设。</w:t>
      </w:r>
      <w:r>
        <w:rPr>
          <w:rFonts w:hint="eastAsia" w:ascii="Times New Roman" w:hAnsi="Times New Roman" w:eastAsia="仿宋_GB2312"/>
          <w:kern w:val="4"/>
          <w:sz w:val="30"/>
          <w:szCs w:val="30"/>
        </w:rPr>
        <w:t>到20</w:t>
      </w:r>
      <w:r>
        <w:rPr>
          <w:rFonts w:ascii="Times New Roman" w:hAnsi="Times New Roman" w:eastAsia="仿宋_GB2312"/>
          <w:kern w:val="4"/>
          <w:sz w:val="30"/>
          <w:szCs w:val="30"/>
        </w:rPr>
        <w:t>20</w:t>
      </w:r>
      <w:r>
        <w:rPr>
          <w:rFonts w:hint="eastAsia" w:ascii="Times New Roman" w:hAnsi="Times New Roman" w:eastAsia="仿宋_GB2312"/>
          <w:kern w:val="4"/>
          <w:sz w:val="30"/>
          <w:szCs w:val="30"/>
        </w:rPr>
        <w:t>年</w:t>
      </w:r>
      <w:r>
        <w:rPr>
          <w:rFonts w:ascii="Times New Roman" w:hAnsi="Times New Roman" w:eastAsia="仿宋_GB2312"/>
          <w:kern w:val="4"/>
          <w:sz w:val="30"/>
          <w:szCs w:val="30"/>
        </w:rPr>
        <w:t>，</w:t>
      </w:r>
      <w:r>
        <w:rPr>
          <w:rFonts w:hint="eastAsia" w:ascii="Times New Roman" w:hAnsi="Times New Roman" w:eastAsia="仿宋_GB2312"/>
          <w:kern w:val="4"/>
          <w:sz w:val="30"/>
          <w:szCs w:val="30"/>
        </w:rPr>
        <w:t>每万车死亡率低于</w:t>
      </w:r>
      <w:r>
        <w:rPr>
          <w:rFonts w:ascii="Times New Roman" w:hAnsi="Times New Roman" w:eastAsia="仿宋_GB2312"/>
          <w:kern w:val="4"/>
          <w:sz w:val="30"/>
          <w:szCs w:val="30"/>
        </w:rPr>
        <w:t>2</w:t>
      </w:r>
      <w:r>
        <w:rPr>
          <w:rFonts w:hint="eastAsia" w:ascii="Times New Roman" w:hAnsi="Times New Roman" w:eastAsia="仿宋_GB2312"/>
          <w:kern w:val="4"/>
          <w:sz w:val="30"/>
          <w:szCs w:val="30"/>
        </w:rPr>
        <w:t>人</w:t>
      </w:r>
      <w:r>
        <w:rPr>
          <w:rFonts w:ascii="Times New Roman" w:hAnsi="Times New Roman" w:eastAsia="仿宋_GB2312"/>
          <w:kern w:val="4"/>
          <w:sz w:val="30"/>
          <w:szCs w:val="30"/>
        </w:rPr>
        <w:t>/</w:t>
      </w:r>
      <w:r>
        <w:rPr>
          <w:rFonts w:hint="eastAsia" w:ascii="Times New Roman" w:hAnsi="Times New Roman" w:eastAsia="仿宋_GB2312"/>
          <w:kern w:val="4"/>
          <w:sz w:val="30"/>
          <w:szCs w:val="30"/>
        </w:rPr>
        <w:t>万车；城乡公共客运</w:t>
      </w:r>
      <w:r>
        <w:rPr>
          <w:rFonts w:ascii="Times New Roman" w:hAnsi="Times New Roman" w:eastAsia="仿宋_GB2312"/>
          <w:kern w:val="4"/>
          <w:sz w:val="30"/>
          <w:szCs w:val="30"/>
        </w:rPr>
        <w:t>IC</w:t>
      </w:r>
      <w:r>
        <w:rPr>
          <w:rFonts w:hint="eastAsia" w:ascii="Times New Roman" w:hAnsi="Times New Roman" w:eastAsia="仿宋_GB2312"/>
          <w:kern w:val="4"/>
          <w:sz w:val="30"/>
          <w:szCs w:val="30"/>
        </w:rPr>
        <w:t>卡使用率</w:t>
      </w:r>
      <w:r>
        <w:rPr>
          <w:rFonts w:ascii="Times New Roman" w:hAnsi="Times New Roman" w:eastAsia="仿宋_GB2312"/>
          <w:kern w:val="4"/>
          <w:sz w:val="30"/>
          <w:szCs w:val="30"/>
        </w:rPr>
        <w:t>100%</w:t>
      </w:r>
      <w:r>
        <w:rPr>
          <w:rFonts w:hint="eastAsia" w:ascii="Times New Roman" w:hAnsi="Times New Roman" w:eastAsia="仿宋_GB2312"/>
          <w:kern w:val="4"/>
          <w:sz w:val="30"/>
          <w:szCs w:val="30"/>
        </w:rPr>
        <w:t>；清洁能源及新能源公交车占比不低于</w:t>
      </w:r>
      <w:r>
        <w:rPr>
          <w:rFonts w:ascii="Times New Roman" w:hAnsi="Times New Roman" w:eastAsia="仿宋_GB2312"/>
          <w:kern w:val="4"/>
          <w:sz w:val="30"/>
          <w:szCs w:val="30"/>
        </w:rPr>
        <w:t>70%</w:t>
      </w:r>
      <w:r>
        <w:rPr>
          <w:rFonts w:hint="eastAsia" w:ascii="Times New Roman" w:hAnsi="Times New Roman" w:eastAsia="仿宋_GB2312"/>
          <w:kern w:val="4"/>
          <w:sz w:val="30"/>
          <w:szCs w:val="30"/>
        </w:rPr>
        <w:t>。</w:t>
      </w:r>
    </w:p>
    <w:p>
      <w:pPr>
        <w:spacing w:line="560" w:lineRule="exact"/>
        <w:ind w:firstLine="600"/>
        <w:rPr>
          <w:rFonts w:ascii="Times New Roman" w:hAnsi="Times New Roman" w:eastAsia="仿宋_GB2312"/>
          <w:kern w:val="4"/>
          <w:sz w:val="30"/>
          <w:szCs w:val="30"/>
        </w:rPr>
        <w:sectPr>
          <w:headerReference r:id="rId17" w:type="default"/>
          <w:pgSz w:w="11906" w:h="16838"/>
          <w:pgMar w:top="1701" w:right="1134" w:bottom="1418" w:left="1418" w:header="1247" w:footer="992" w:gutter="0"/>
          <w:cols w:space="425" w:num="1"/>
          <w:docGrid w:linePitch="312" w:charSpace="0"/>
        </w:sectPr>
      </w:pPr>
    </w:p>
    <w:p>
      <w:pPr>
        <w:spacing w:line="520" w:lineRule="exact"/>
        <w:ind w:firstLine="0" w:firstLineChars="0"/>
        <w:jc w:val="center"/>
        <w:rPr>
          <w:rFonts w:ascii="Times New Roman" w:hAnsi="Times New Roman" w:eastAsia="黑体"/>
          <w:kern w:val="4"/>
          <w:sz w:val="24"/>
        </w:rPr>
      </w:pPr>
      <w:r>
        <w:rPr>
          <w:rFonts w:ascii="Times New Roman" w:hAnsi="Times New Roman" w:eastAsia="黑体"/>
          <w:kern w:val="4"/>
          <w:sz w:val="24"/>
        </w:rPr>
        <w:t>表3-1  溧水区“十三五”交通运输发展规划主要指标</w:t>
      </w:r>
    </w:p>
    <w:tbl>
      <w:tblPr>
        <w:tblStyle w:val="30"/>
        <w:tblW w:w="5000"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73"/>
        <w:gridCol w:w="675"/>
        <w:gridCol w:w="4370"/>
        <w:gridCol w:w="993"/>
        <w:gridCol w:w="1133"/>
        <w:gridCol w:w="825"/>
        <w:gridCol w:w="1001"/>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48" w:type="dxa"/>
            <w:gridSpan w:val="2"/>
            <w:vMerge w:val="restart"/>
            <w:vAlign w:val="center"/>
          </w:tcPr>
          <w:p>
            <w:pPr>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类别</w:t>
            </w:r>
          </w:p>
        </w:tc>
        <w:tc>
          <w:tcPr>
            <w:tcW w:w="4370" w:type="dxa"/>
            <w:vMerge w:val="restart"/>
            <w:vAlign w:val="center"/>
          </w:tcPr>
          <w:p>
            <w:pPr>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指标项目</w:t>
            </w:r>
          </w:p>
        </w:tc>
        <w:tc>
          <w:tcPr>
            <w:tcW w:w="993" w:type="dxa"/>
            <w:vMerge w:val="restart"/>
            <w:vAlign w:val="center"/>
          </w:tcPr>
          <w:p>
            <w:pPr>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2015年</w:t>
            </w:r>
          </w:p>
        </w:tc>
        <w:tc>
          <w:tcPr>
            <w:tcW w:w="1958" w:type="dxa"/>
            <w:gridSpan w:val="2"/>
            <w:vAlign w:val="center"/>
          </w:tcPr>
          <w:p>
            <w:pPr>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2020年</w:t>
            </w:r>
          </w:p>
        </w:tc>
        <w:tc>
          <w:tcPr>
            <w:tcW w:w="1001" w:type="dxa"/>
            <w:vMerge w:val="restart"/>
            <w:vAlign w:val="center"/>
          </w:tcPr>
          <w:p>
            <w:pPr>
              <w:ind w:firstLine="0" w:firstLineChars="0"/>
              <w:jc w:val="center"/>
              <w:rPr>
                <w:rFonts w:ascii="Times New Roman" w:hAnsi="Times New Roman" w:eastAsia="楷体"/>
                <w:b/>
                <w:kern w:val="4"/>
                <w:sz w:val="21"/>
                <w:szCs w:val="21"/>
              </w:rPr>
            </w:pPr>
            <w:r>
              <w:rPr>
                <w:rFonts w:hint="eastAsia" w:ascii="Times New Roman" w:hAnsi="Times New Roman" w:eastAsia="楷体"/>
                <w:b/>
                <w:kern w:val="4"/>
                <w:sz w:val="21"/>
                <w:szCs w:val="21"/>
              </w:rPr>
              <w:t>指标</w:t>
            </w:r>
          </w:p>
          <w:p>
            <w:pPr>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性质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48" w:type="dxa"/>
            <w:gridSpan w:val="2"/>
            <w:vMerge w:val="continue"/>
            <w:vAlign w:val="center"/>
          </w:tcPr>
          <w:p>
            <w:pPr>
              <w:ind w:firstLine="0" w:firstLineChars="0"/>
              <w:jc w:val="center"/>
              <w:rPr>
                <w:rFonts w:ascii="Times New Roman" w:hAnsi="Times New Roman" w:eastAsia="楷体"/>
                <w:b/>
                <w:kern w:val="4"/>
                <w:sz w:val="21"/>
                <w:szCs w:val="21"/>
              </w:rPr>
            </w:pPr>
          </w:p>
        </w:tc>
        <w:tc>
          <w:tcPr>
            <w:tcW w:w="4370" w:type="dxa"/>
            <w:vMerge w:val="continue"/>
            <w:vAlign w:val="center"/>
          </w:tcPr>
          <w:p>
            <w:pPr>
              <w:ind w:firstLine="0" w:firstLineChars="0"/>
              <w:jc w:val="left"/>
              <w:rPr>
                <w:rFonts w:ascii="Times New Roman" w:hAnsi="Times New Roman" w:eastAsia="楷体"/>
                <w:b/>
                <w:kern w:val="4"/>
                <w:sz w:val="21"/>
                <w:szCs w:val="21"/>
              </w:rPr>
            </w:pPr>
          </w:p>
        </w:tc>
        <w:tc>
          <w:tcPr>
            <w:tcW w:w="993" w:type="dxa"/>
            <w:vMerge w:val="continue"/>
            <w:vAlign w:val="center"/>
          </w:tcPr>
          <w:p>
            <w:pPr>
              <w:ind w:firstLine="0" w:firstLineChars="0"/>
              <w:jc w:val="center"/>
              <w:rPr>
                <w:rFonts w:ascii="Times New Roman" w:hAnsi="Times New Roman" w:eastAsia="楷体"/>
                <w:b/>
                <w:kern w:val="4"/>
                <w:sz w:val="21"/>
                <w:szCs w:val="21"/>
              </w:rPr>
            </w:pPr>
          </w:p>
        </w:tc>
        <w:tc>
          <w:tcPr>
            <w:tcW w:w="1133" w:type="dxa"/>
            <w:vAlign w:val="center"/>
          </w:tcPr>
          <w:p>
            <w:pPr>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溧水</w:t>
            </w:r>
          </w:p>
        </w:tc>
        <w:tc>
          <w:tcPr>
            <w:tcW w:w="825" w:type="dxa"/>
            <w:vAlign w:val="center"/>
          </w:tcPr>
          <w:p>
            <w:pPr>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南京</w:t>
            </w:r>
          </w:p>
        </w:tc>
        <w:tc>
          <w:tcPr>
            <w:tcW w:w="1001" w:type="dxa"/>
            <w:vMerge w:val="continue"/>
            <w:vAlign w:val="center"/>
          </w:tcPr>
          <w:p>
            <w:pPr>
              <w:ind w:firstLine="0" w:firstLineChars="0"/>
              <w:jc w:val="center"/>
              <w:rPr>
                <w:rFonts w:ascii="Times New Roman" w:hAnsi="Times New Roman" w:eastAsia="楷体"/>
                <w:b/>
                <w:kern w:val="4"/>
                <w:sz w:val="21"/>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73" w:type="dxa"/>
            <w:vMerge w:val="restart"/>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基础设施</w:t>
            </w:r>
          </w:p>
        </w:tc>
        <w:tc>
          <w:tcPr>
            <w:tcW w:w="675" w:type="dxa"/>
            <w:vMerge w:val="restart"/>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公路</w:t>
            </w:r>
          </w:p>
        </w:tc>
        <w:tc>
          <w:tcPr>
            <w:tcW w:w="4370" w:type="dxa"/>
            <w:vAlign w:val="center"/>
          </w:tcPr>
          <w:p>
            <w:pPr>
              <w:ind w:firstLine="0" w:firstLineChars="0"/>
              <w:jc w:val="left"/>
              <w:rPr>
                <w:rFonts w:ascii="Times New Roman" w:hAnsi="Times New Roman" w:eastAsia="楷体"/>
                <w:kern w:val="4"/>
                <w:sz w:val="21"/>
                <w:szCs w:val="21"/>
              </w:rPr>
            </w:pPr>
            <w:r>
              <w:rPr>
                <w:rFonts w:ascii="Times New Roman" w:hAnsi="Times New Roman" w:eastAsia="楷体"/>
                <w:kern w:val="4"/>
                <w:sz w:val="21"/>
                <w:szCs w:val="21"/>
              </w:rPr>
              <w:t>1、公路总里程（公里）</w:t>
            </w:r>
          </w:p>
        </w:tc>
        <w:tc>
          <w:tcPr>
            <w:tcW w:w="99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1738.10</w:t>
            </w:r>
          </w:p>
        </w:tc>
        <w:tc>
          <w:tcPr>
            <w:tcW w:w="1133" w:type="dxa"/>
            <w:vAlign w:val="center"/>
          </w:tcPr>
          <w:p>
            <w:pPr>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1991</w:t>
            </w:r>
          </w:p>
        </w:tc>
        <w:tc>
          <w:tcPr>
            <w:tcW w:w="825" w:type="dxa"/>
            <w:vAlign w:val="center"/>
          </w:tcPr>
          <w:p>
            <w:pPr>
              <w:ind w:firstLine="0" w:firstLineChars="0"/>
              <w:jc w:val="center"/>
              <w:rPr>
                <w:rFonts w:ascii="Times New Roman" w:hAnsi="Times New Roman" w:eastAsia="楷体"/>
                <w:kern w:val="4"/>
                <w:sz w:val="21"/>
                <w:szCs w:val="21"/>
              </w:rPr>
            </w:pPr>
          </w:p>
        </w:tc>
        <w:tc>
          <w:tcPr>
            <w:tcW w:w="1001" w:type="dxa"/>
            <w:vAlign w:val="center"/>
          </w:tcPr>
          <w:p>
            <w:pPr>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73" w:type="dxa"/>
            <w:vMerge w:val="continue"/>
            <w:vAlign w:val="center"/>
          </w:tcPr>
          <w:p>
            <w:pPr>
              <w:ind w:firstLine="0" w:firstLineChars="0"/>
              <w:jc w:val="center"/>
              <w:rPr>
                <w:rFonts w:ascii="Times New Roman" w:hAnsi="Times New Roman" w:eastAsia="楷体"/>
                <w:kern w:val="4"/>
                <w:sz w:val="21"/>
                <w:szCs w:val="21"/>
              </w:rPr>
            </w:pPr>
          </w:p>
        </w:tc>
        <w:tc>
          <w:tcPr>
            <w:tcW w:w="675" w:type="dxa"/>
            <w:vMerge w:val="continue"/>
            <w:vAlign w:val="center"/>
          </w:tcPr>
          <w:p>
            <w:pPr>
              <w:ind w:firstLine="0" w:firstLineChars="0"/>
              <w:jc w:val="center"/>
              <w:rPr>
                <w:rFonts w:ascii="Times New Roman" w:hAnsi="Times New Roman" w:eastAsia="楷体"/>
                <w:kern w:val="4"/>
                <w:sz w:val="21"/>
                <w:szCs w:val="21"/>
              </w:rPr>
            </w:pPr>
          </w:p>
        </w:tc>
        <w:tc>
          <w:tcPr>
            <w:tcW w:w="4370" w:type="dxa"/>
            <w:vAlign w:val="center"/>
          </w:tcPr>
          <w:p>
            <w:pPr>
              <w:ind w:firstLine="0" w:firstLineChars="0"/>
              <w:jc w:val="left"/>
              <w:rPr>
                <w:rFonts w:ascii="Times New Roman" w:hAnsi="Times New Roman" w:eastAsia="楷体"/>
                <w:kern w:val="4"/>
                <w:sz w:val="21"/>
                <w:szCs w:val="21"/>
              </w:rPr>
            </w:pPr>
            <w:r>
              <w:rPr>
                <w:rFonts w:ascii="Times New Roman" w:hAnsi="Times New Roman" w:eastAsia="楷体"/>
                <w:kern w:val="4"/>
                <w:sz w:val="21"/>
                <w:szCs w:val="21"/>
              </w:rPr>
              <w:t>（1）高速公路里程</w:t>
            </w:r>
          </w:p>
        </w:tc>
        <w:tc>
          <w:tcPr>
            <w:tcW w:w="99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104.86</w:t>
            </w:r>
          </w:p>
        </w:tc>
        <w:tc>
          <w:tcPr>
            <w:tcW w:w="113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106.86</w:t>
            </w:r>
          </w:p>
        </w:tc>
        <w:tc>
          <w:tcPr>
            <w:tcW w:w="825" w:type="dxa"/>
            <w:vAlign w:val="center"/>
          </w:tcPr>
          <w:p>
            <w:pPr>
              <w:ind w:firstLine="0" w:firstLineChars="0"/>
              <w:jc w:val="center"/>
              <w:rPr>
                <w:rFonts w:ascii="Times New Roman" w:hAnsi="Times New Roman" w:eastAsia="楷体"/>
                <w:kern w:val="4"/>
                <w:sz w:val="21"/>
                <w:szCs w:val="21"/>
              </w:rPr>
            </w:pPr>
          </w:p>
        </w:tc>
        <w:tc>
          <w:tcPr>
            <w:tcW w:w="1001" w:type="dxa"/>
            <w:vAlign w:val="center"/>
          </w:tcPr>
          <w:p>
            <w:pPr>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73" w:type="dxa"/>
            <w:vMerge w:val="continue"/>
            <w:vAlign w:val="center"/>
          </w:tcPr>
          <w:p>
            <w:pPr>
              <w:ind w:firstLine="0" w:firstLineChars="0"/>
              <w:jc w:val="center"/>
              <w:rPr>
                <w:rFonts w:ascii="Times New Roman" w:hAnsi="Times New Roman" w:eastAsia="楷体"/>
                <w:kern w:val="4"/>
                <w:sz w:val="21"/>
                <w:szCs w:val="21"/>
              </w:rPr>
            </w:pPr>
          </w:p>
        </w:tc>
        <w:tc>
          <w:tcPr>
            <w:tcW w:w="675" w:type="dxa"/>
            <w:vMerge w:val="continue"/>
            <w:vAlign w:val="center"/>
          </w:tcPr>
          <w:p>
            <w:pPr>
              <w:ind w:firstLine="0" w:firstLineChars="0"/>
              <w:jc w:val="center"/>
              <w:rPr>
                <w:rFonts w:ascii="Times New Roman" w:hAnsi="Times New Roman" w:eastAsia="楷体"/>
                <w:kern w:val="4"/>
                <w:sz w:val="21"/>
                <w:szCs w:val="21"/>
              </w:rPr>
            </w:pPr>
          </w:p>
        </w:tc>
        <w:tc>
          <w:tcPr>
            <w:tcW w:w="4370" w:type="dxa"/>
            <w:vAlign w:val="center"/>
          </w:tcPr>
          <w:p>
            <w:pPr>
              <w:ind w:firstLine="0" w:firstLineChars="0"/>
              <w:jc w:val="left"/>
              <w:rPr>
                <w:rFonts w:ascii="Times New Roman" w:hAnsi="Times New Roman" w:eastAsia="楷体"/>
                <w:kern w:val="4"/>
                <w:sz w:val="21"/>
                <w:szCs w:val="21"/>
              </w:rPr>
            </w:pPr>
            <w:r>
              <w:rPr>
                <w:rFonts w:ascii="Times New Roman" w:hAnsi="Times New Roman" w:eastAsia="楷体"/>
                <w:kern w:val="4"/>
                <w:sz w:val="21"/>
                <w:szCs w:val="21"/>
              </w:rPr>
              <w:t>（2）普通国省干线里程</w:t>
            </w:r>
          </w:p>
        </w:tc>
        <w:tc>
          <w:tcPr>
            <w:tcW w:w="99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151</w:t>
            </w:r>
          </w:p>
        </w:tc>
        <w:tc>
          <w:tcPr>
            <w:tcW w:w="113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213</w:t>
            </w:r>
          </w:p>
        </w:tc>
        <w:tc>
          <w:tcPr>
            <w:tcW w:w="825" w:type="dxa"/>
            <w:vAlign w:val="center"/>
          </w:tcPr>
          <w:p>
            <w:pPr>
              <w:ind w:firstLine="0" w:firstLineChars="0"/>
              <w:jc w:val="center"/>
              <w:rPr>
                <w:rFonts w:ascii="Times New Roman" w:hAnsi="Times New Roman" w:eastAsia="楷体"/>
                <w:kern w:val="4"/>
                <w:sz w:val="21"/>
                <w:szCs w:val="21"/>
              </w:rPr>
            </w:pPr>
          </w:p>
        </w:tc>
        <w:tc>
          <w:tcPr>
            <w:tcW w:w="1001" w:type="dxa"/>
            <w:vAlign w:val="center"/>
          </w:tcPr>
          <w:p>
            <w:pPr>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73" w:type="dxa"/>
            <w:vMerge w:val="continue"/>
            <w:vAlign w:val="center"/>
          </w:tcPr>
          <w:p>
            <w:pPr>
              <w:ind w:firstLine="0" w:firstLineChars="0"/>
              <w:jc w:val="center"/>
              <w:rPr>
                <w:rFonts w:ascii="Times New Roman" w:hAnsi="Times New Roman" w:eastAsia="楷体"/>
                <w:kern w:val="4"/>
                <w:sz w:val="21"/>
                <w:szCs w:val="21"/>
              </w:rPr>
            </w:pPr>
          </w:p>
        </w:tc>
        <w:tc>
          <w:tcPr>
            <w:tcW w:w="675" w:type="dxa"/>
            <w:vMerge w:val="continue"/>
            <w:vAlign w:val="center"/>
          </w:tcPr>
          <w:p>
            <w:pPr>
              <w:ind w:firstLine="0" w:firstLineChars="0"/>
              <w:jc w:val="center"/>
              <w:rPr>
                <w:rFonts w:ascii="Times New Roman" w:hAnsi="Times New Roman" w:eastAsia="楷体"/>
                <w:kern w:val="4"/>
                <w:sz w:val="21"/>
                <w:szCs w:val="21"/>
              </w:rPr>
            </w:pPr>
          </w:p>
        </w:tc>
        <w:tc>
          <w:tcPr>
            <w:tcW w:w="4370" w:type="dxa"/>
            <w:vAlign w:val="center"/>
          </w:tcPr>
          <w:p>
            <w:pPr>
              <w:ind w:firstLine="0" w:firstLineChars="0"/>
              <w:jc w:val="left"/>
              <w:rPr>
                <w:rFonts w:ascii="Times New Roman" w:hAnsi="Times New Roman" w:eastAsia="楷体"/>
                <w:kern w:val="4"/>
                <w:sz w:val="21"/>
                <w:szCs w:val="21"/>
              </w:rPr>
            </w:pPr>
            <w:r>
              <w:rPr>
                <w:rFonts w:ascii="Times New Roman" w:hAnsi="Times New Roman" w:eastAsia="楷体"/>
                <w:kern w:val="4"/>
                <w:sz w:val="21"/>
                <w:szCs w:val="21"/>
              </w:rPr>
              <w:t>2、国省公路优等路率（%）</w:t>
            </w:r>
          </w:p>
        </w:tc>
        <w:tc>
          <w:tcPr>
            <w:tcW w:w="99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w:t>
            </w:r>
          </w:p>
        </w:tc>
        <w:tc>
          <w:tcPr>
            <w:tcW w:w="113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92</w:t>
            </w:r>
          </w:p>
        </w:tc>
        <w:tc>
          <w:tcPr>
            <w:tcW w:w="825"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92</w:t>
            </w:r>
          </w:p>
        </w:tc>
        <w:tc>
          <w:tcPr>
            <w:tcW w:w="1001" w:type="dxa"/>
            <w:vAlign w:val="center"/>
          </w:tcPr>
          <w:p>
            <w:pPr>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73" w:type="dxa"/>
            <w:vMerge w:val="continue"/>
            <w:vAlign w:val="center"/>
          </w:tcPr>
          <w:p>
            <w:pPr>
              <w:ind w:firstLine="0" w:firstLineChars="0"/>
              <w:jc w:val="center"/>
              <w:rPr>
                <w:rFonts w:ascii="Times New Roman" w:hAnsi="Times New Roman" w:eastAsia="楷体"/>
                <w:kern w:val="4"/>
                <w:sz w:val="21"/>
                <w:szCs w:val="21"/>
              </w:rPr>
            </w:pPr>
          </w:p>
        </w:tc>
        <w:tc>
          <w:tcPr>
            <w:tcW w:w="675" w:type="dxa"/>
            <w:vMerge w:val="continue"/>
            <w:vAlign w:val="center"/>
          </w:tcPr>
          <w:p>
            <w:pPr>
              <w:ind w:firstLine="0" w:firstLineChars="0"/>
              <w:jc w:val="center"/>
              <w:rPr>
                <w:rFonts w:ascii="Times New Roman" w:hAnsi="Times New Roman" w:eastAsia="楷体"/>
                <w:kern w:val="4"/>
                <w:sz w:val="21"/>
                <w:szCs w:val="21"/>
              </w:rPr>
            </w:pPr>
          </w:p>
        </w:tc>
        <w:tc>
          <w:tcPr>
            <w:tcW w:w="4370" w:type="dxa"/>
            <w:vAlign w:val="center"/>
          </w:tcPr>
          <w:p>
            <w:pPr>
              <w:ind w:firstLine="0" w:firstLineChars="0"/>
              <w:jc w:val="left"/>
              <w:rPr>
                <w:rFonts w:ascii="Times New Roman" w:hAnsi="Times New Roman" w:eastAsia="楷体"/>
                <w:kern w:val="4"/>
                <w:sz w:val="21"/>
                <w:szCs w:val="21"/>
              </w:rPr>
            </w:pPr>
            <w:r>
              <w:rPr>
                <w:rFonts w:ascii="Times New Roman" w:hAnsi="Times New Roman" w:eastAsia="楷体"/>
                <w:kern w:val="4"/>
                <w:sz w:val="21"/>
                <w:szCs w:val="21"/>
              </w:rPr>
              <w:t>3、县乡村公路优良路率（%）</w:t>
            </w:r>
          </w:p>
        </w:tc>
        <w:tc>
          <w:tcPr>
            <w:tcW w:w="99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w:t>
            </w:r>
          </w:p>
        </w:tc>
        <w:tc>
          <w:tcPr>
            <w:tcW w:w="113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82</w:t>
            </w:r>
          </w:p>
        </w:tc>
        <w:tc>
          <w:tcPr>
            <w:tcW w:w="825"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82</w:t>
            </w:r>
          </w:p>
        </w:tc>
        <w:tc>
          <w:tcPr>
            <w:tcW w:w="1001" w:type="dxa"/>
            <w:vAlign w:val="center"/>
          </w:tcPr>
          <w:p>
            <w:pPr>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73" w:type="dxa"/>
            <w:vMerge w:val="continue"/>
            <w:vAlign w:val="center"/>
          </w:tcPr>
          <w:p>
            <w:pPr>
              <w:ind w:firstLine="0" w:firstLineChars="0"/>
              <w:jc w:val="center"/>
              <w:rPr>
                <w:rFonts w:ascii="Times New Roman" w:hAnsi="Times New Roman" w:eastAsia="楷体"/>
                <w:kern w:val="4"/>
                <w:sz w:val="21"/>
                <w:szCs w:val="21"/>
              </w:rPr>
            </w:pPr>
          </w:p>
        </w:tc>
        <w:tc>
          <w:tcPr>
            <w:tcW w:w="675" w:type="dxa"/>
            <w:vMerge w:val="restart"/>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航道</w:t>
            </w:r>
          </w:p>
        </w:tc>
        <w:tc>
          <w:tcPr>
            <w:tcW w:w="4370" w:type="dxa"/>
            <w:vAlign w:val="center"/>
          </w:tcPr>
          <w:p>
            <w:pPr>
              <w:ind w:firstLine="0" w:firstLineChars="0"/>
              <w:jc w:val="left"/>
              <w:rPr>
                <w:rFonts w:ascii="Times New Roman" w:hAnsi="Times New Roman" w:eastAsia="楷体"/>
                <w:kern w:val="4"/>
                <w:sz w:val="21"/>
                <w:szCs w:val="21"/>
              </w:rPr>
            </w:pPr>
            <w:r>
              <w:rPr>
                <w:rFonts w:ascii="Times New Roman" w:hAnsi="Times New Roman" w:eastAsia="楷体"/>
                <w:kern w:val="4"/>
                <w:sz w:val="21"/>
                <w:szCs w:val="21"/>
              </w:rPr>
              <w:t>4、航道总里程（公里）</w:t>
            </w:r>
          </w:p>
        </w:tc>
        <w:tc>
          <w:tcPr>
            <w:tcW w:w="99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91.04</w:t>
            </w:r>
          </w:p>
        </w:tc>
        <w:tc>
          <w:tcPr>
            <w:tcW w:w="113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108.84</w:t>
            </w:r>
          </w:p>
        </w:tc>
        <w:tc>
          <w:tcPr>
            <w:tcW w:w="825" w:type="dxa"/>
            <w:vAlign w:val="center"/>
          </w:tcPr>
          <w:p>
            <w:pPr>
              <w:ind w:firstLine="0" w:firstLineChars="0"/>
              <w:jc w:val="center"/>
              <w:rPr>
                <w:rFonts w:ascii="Times New Roman" w:hAnsi="Times New Roman" w:eastAsia="楷体"/>
                <w:kern w:val="4"/>
                <w:sz w:val="21"/>
                <w:szCs w:val="21"/>
              </w:rPr>
            </w:pPr>
          </w:p>
        </w:tc>
        <w:tc>
          <w:tcPr>
            <w:tcW w:w="1001" w:type="dxa"/>
            <w:vAlign w:val="center"/>
          </w:tcPr>
          <w:p>
            <w:pPr>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73" w:type="dxa"/>
            <w:vMerge w:val="continue"/>
            <w:vAlign w:val="center"/>
          </w:tcPr>
          <w:p>
            <w:pPr>
              <w:ind w:firstLine="0" w:firstLineChars="0"/>
              <w:jc w:val="center"/>
              <w:rPr>
                <w:rFonts w:ascii="Times New Roman" w:hAnsi="Times New Roman" w:eastAsia="楷体"/>
                <w:kern w:val="4"/>
                <w:sz w:val="21"/>
                <w:szCs w:val="21"/>
              </w:rPr>
            </w:pPr>
          </w:p>
        </w:tc>
        <w:tc>
          <w:tcPr>
            <w:tcW w:w="675" w:type="dxa"/>
            <w:vMerge w:val="continue"/>
            <w:vAlign w:val="center"/>
          </w:tcPr>
          <w:p>
            <w:pPr>
              <w:ind w:firstLine="0" w:firstLineChars="0"/>
              <w:jc w:val="center"/>
              <w:rPr>
                <w:rFonts w:ascii="Times New Roman" w:hAnsi="Times New Roman" w:eastAsia="楷体"/>
                <w:kern w:val="4"/>
                <w:sz w:val="21"/>
                <w:szCs w:val="21"/>
              </w:rPr>
            </w:pPr>
          </w:p>
        </w:tc>
        <w:tc>
          <w:tcPr>
            <w:tcW w:w="4370" w:type="dxa"/>
            <w:vAlign w:val="center"/>
          </w:tcPr>
          <w:p>
            <w:pPr>
              <w:ind w:firstLine="0" w:firstLineChars="0"/>
              <w:jc w:val="left"/>
              <w:rPr>
                <w:rFonts w:ascii="Times New Roman" w:hAnsi="Times New Roman" w:eastAsia="楷体"/>
                <w:kern w:val="4"/>
                <w:sz w:val="21"/>
                <w:szCs w:val="21"/>
              </w:rPr>
            </w:pPr>
            <w:r>
              <w:rPr>
                <w:rFonts w:ascii="Times New Roman" w:hAnsi="Times New Roman" w:eastAsia="楷体"/>
                <w:kern w:val="4"/>
                <w:sz w:val="21"/>
                <w:szCs w:val="21"/>
              </w:rPr>
              <w:t>（1）四级以上航道里程</w:t>
            </w:r>
          </w:p>
        </w:tc>
        <w:tc>
          <w:tcPr>
            <w:tcW w:w="993" w:type="dxa"/>
            <w:vAlign w:val="center"/>
          </w:tcPr>
          <w:p>
            <w:pPr>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11.26</w:t>
            </w:r>
          </w:p>
        </w:tc>
        <w:tc>
          <w:tcPr>
            <w:tcW w:w="113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46.2</w:t>
            </w:r>
          </w:p>
        </w:tc>
        <w:tc>
          <w:tcPr>
            <w:tcW w:w="825" w:type="dxa"/>
            <w:vAlign w:val="center"/>
          </w:tcPr>
          <w:p>
            <w:pPr>
              <w:ind w:firstLine="0" w:firstLineChars="0"/>
              <w:jc w:val="center"/>
              <w:rPr>
                <w:rFonts w:ascii="Times New Roman" w:hAnsi="Times New Roman" w:eastAsia="楷体"/>
                <w:kern w:val="4"/>
                <w:sz w:val="21"/>
                <w:szCs w:val="21"/>
              </w:rPr>
            </w:pPr>
          </w:p>
        </w:tc>
        <w:tc>
          <w:tcPr>
            <w:tcW w:w="1001" w:type="dxa"/>
            <w:vAlign w:val="center"/>
          </w:tcPr>
          <w:p>
            <w:pPr>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73" w:type="dxa"/>
            <w:vMerge w:val="continue"/>
            <w:vAlign w:val="center"/>
          </w:tcPr>
          <w:p>
            <w:pPr>
              <w:ind w:firstLine="0" w:firstLineChars="0"/>
              <w:jc w:val="center"/>
              <w:rPr>
                <w:rFonts w:ascii="Times New Roman" w:hAnsi="Times New Roman" w:eastAsia="楷体"/>
                <w:kern w:val="4"/>
                <w:sz w:val="21"/>
                <w:szCs w:val="21"/>
              </w:rPr>
            </w:pPr>
          </w:p>
        </w:tc>
        <w:tc>
          <w:tcPr>
            <w:tcW w:w="675"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轨道</w:t>
            </w:r>
          </w:p>
        </w:tc>
        <w:tc>
          <w:tcPr>
            <w:tcW w:w="4370" w:type="dxa"/>
            <w:vAlign w:val="center"/>
          </w:tcPr>
          <w:p>
            <w:pPr>
              <w:ind w:firstLine="0" w:firstLineChars="0"/>
              <w:jc w:val="left"/>
              <w:rPr>
                <w:rFonts w:ascii="Times New Roman" w:hAnsi="Times New Roman" w:eastAsia="楷体"/>
                <w:kern w:val="4"/>
                <w:sz w:val="21"/>
                <w:szCs w:val="21"/>
              </w:rPr>
            </w:pPr>
            <w:r>
              <w:rPr>
                <w:rFonts w:ascii="Times New Roman" w:hAnsi="Times New Roman" w:eastAsia="楷体"/>
                <w:kern w:val="4"/>
                <w:sz w:val="21"/>
                <w:szCs w:val="21"/>
              </w:rPr>
              <w:t>5、轨道总里程（公里）</w:t>
            </w:r>
          </w:p>
        </w:tc>
        <w:tc>
          <w:tcPr>
            <w:tcW w:w="99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29.04</w:t>
            </w:r>
          </w:p>
        </w:tc>
        <w:tc>
          <w:tcPr>
            <w:tcW w:w="113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82.74</w:t>
            </w:r>
          </w:p>
        </w:tc>
        <w:tc>
          <w:tcPr>
            <w:tcW w:w="825" w:type="dxa"/>
            <w:vAlign w:val="center"/>
          </w:tcPr>
          <w:p>
            <w:pPr>
              <w:ind w:firstLine="0" w:firstLineChars="0"/>
              <w:jc w:val="center"/>
              <w:rPr>
                <w:rFonts w:ascii="Times New Roman" w:hAnsi="Times New Roman" w:eastAsia="楷体"/>
                <w:kern w:val="4"/>
                <w:sz w:val="21"/>
                <w:szCs w:val="21"/>
              </w:rPr>
            </w:pPr>
          </w:p>
        </w:tc>
        <w:tc>
          <w:tcPr>
            <w:tcW w:w="1001" w:type="dxa"/>
            <w:vAlign w:val="center"/>
          </w:tcPr>
          <w:p>
            <w:pPr>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73" w:type="dxa"/>
            <w:vMerge w:val="restart"/>
            <w:vAlign w:val="center"/>
          </w:tcPr>
          <w:p>
            <w:pPr>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运输服务</w:t>
            </w:r>
          </w:p>
        </w:tc>
        <w:tc>
          <w:tcPr>
            <w:tcW w:w="675" w:type="dxa"/>
            <w:vMerge w:val="restart"/>
            <w:vAlign w:val="center"/>
          </w:tcPr>
          <w:p>
            <w:pPr>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客运</w:t>
            </w:r>
          </w:p>
        </w:tc>
        <w:tc>
          <w:tcPr>
            <w:tcW w:w="4370" w:type="dxa"/>
            <w:vAlign w:val="center"/>
          </w:tcPr>
          <w:p>
            <w:pPr>
              <w:ind w:firstLine="0" w:firstLineChars="0"/>
              <w:jc w:val="left"/>
              <w:rPr>
                <w:rFonts w:ascii="Times New Roman" w:hAnsi="Times New Roman" w:eastAsia="楷体"/>
                <w:kern w:val="4"/>
                <w:sz w:val="21"/>
                <w:szCs w:val="21"/>
              </w:rPr>
            </w:pPr>
            <w:r>
              <w:rPr>
                <w:rFonts w:ascii="Times New Roman" w:hAnsi="Times New Roman" w:eastAsia="楷体"/>
                <w:kern w:val="4"/>
                <w:sz w:val="21"/>
                <w:szCs w:val="21"/>
              </w:rPr>
              <w:t>6、主城区公共交通占全方式出行比例</w:t>
            </w:r>
            <w:r>
              <w:rPr>
                <w:rFonts w:hint="eastAsia" w:ascii="Times New Roman" w:hAnsi="Times New Roman" w:eastAsia="楷体"/>
                <w:kern w:val="4"/>
                <w:sz w:val="21"/>
                <w:szCs w:val="21"/>
              </w:rPr>
              <w:t>(</w:t>
            </w:r>
            <w:r>
              <w:rPr>
                <w:rFonts w:ascii="Times New Roman" w:hAnsi="Times New Roman" w:eastAsia="楷体"/>
                <w:kern w:val="4"/>
                <w:sz w:val="21"/>
                <w:szCs w:val="21"/>
              </w:rPr>
              <w:t>%)</w:t>
            </w:r>
          </w:p>
        </w:tc>
        <w:tc>
          <w:tcPr>
            <w:tcW w:w="99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4.7</w:t>
            </w:r>
          </w:p>
        </w:tc>
        <w:tc>
          <w:tcPr>
            <w:tcW w:w="113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18</w:t>
            </w:r>
          </w:p>
        </w:tc>
        <w:tc>
          <w:tcPr>
            <w:tcW w:w="825"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35</w:t>
            </w:r>
          </w:p>
        </w:tc>
        <w:tc>
          <w:tcPr>
            <w:tcW w:w="1001" w:type="dxa"/>
            <w:vAlign w:val="center"/>
          </w:tcPr>
          <w:p>
            <w:pPr>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73" w:type="dxa"/>
            <w:vMerge w:val="continue"/>
            <w:vAlign w:val="center"/>
          </w:tcPr>
          <w:p>
            <w:pPr>
              <w:ind w:firstLine="0" w:firstLineChars="0"/>
              <w:jc w:val="center"/>
              <w:rPr>
                <w:rFonts w:ascii="Times New Roman" w:hAnsi="Times New Roman" w:eastAsia="楷体"/>
                <w:kern w:val="4"/>
                <w:sz w:val="21"/>
                <w:szCs w:val="21"/>
              </w:rPr>
            </w:pPr>
          </w:p>
        </w:tc>
        <w:tc>
          <w:tcPr>
            <w:tcW w:w="675" w:type="dxa"/>
            <w:vMerge w:val="continue"/>
            <w:vAlign w:val="center"/>
          </w:tcPr>
          <w:p>
            <w:pPr>
              <w:ind w:firstLine="0" w:firstLineChars="0"/>
              <w:jc w:val="center"/>
              <w:rPr>
                <w:rFonts w:ascii="Times New Roman" w:hAnsi="Times New Roman" w:eastAsia="楷体"/>
                <w:kern w:val="4"/>
                <w:sz w:val="21"/>
                <w:szCs w:val="21"/>
              </w:rPr>
            </w:pPr>
          </w:p>
        </w:tc>
        <w:tc>
          <w:tcPr>
            <w:tcW w:w="4370" w:type="dxa"/>
            <w:vAlign w:val="center"/>
          </w:tcPr>
          <w:p>
            <w:pPr>
              <w:ind w:firstLine="0" w:firstLineChars="0"/>
              <w:jc w:val="left"/>
              <w:rPr>
                <w:rFonts w:ascii="Times New Roman" w:hAnsi="Times New Roman" w:eastAsia="楷体"/>
                <w:kern w:val="4"/>
                <w:sz w:val="21"/>
                <w:szCs w:val="21"/>
              </w:rPr>
            </w:pPr>
            <w:r>
              <w:rPr>
                <w:rFonts w:ascii="Times New Roman" w:hAnsi="Times New Roman" w:eastAsia="楷体"/>
                <w:kern w:val="4"/>
                <w:sz w:val="21"/>
                <w:szCs w:val="21"/>
              </w:rPr>
              <w:t>7、中心城区公共交通站点500米覆盖率</w:t>
            </w:r>
            <w:r>
              <w:rPr>
                <w:rFonts w:hint="eastAsia" w:ascii="Times New Roman" w:hAnsi="Times New Roman" w:eastAsia="楷体"/>
                <w:kern w:val="4"/>
                <w:sz w:val="21"/>
                <w:szCs w:val="21"/>
              </w:rPr>
              <w:t>(</w:t>
            </w:r>
            <w:r>
              <w:rPr>
                <w:rFonts w:ascii="Times New Roman" w:hAnsi="Times New Roman" w:eastAsia="楷体"/>
                <w:kern w:val="4"/>
                <w:sz w:val="21"/>
                <w:szCs w:val="21"/>
              </w:rPr>
              <w:t>%)</w:t>
            </w:r>
          </w:p>
        </w:tc>
        <w:tc>
          <w:tcPr>
            <w:tcW w:w="99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90</w:t>
            </w:r>
          </w:p>
        </w:tc>
        <w:tc>
          <w:tcPr>
            <w:tcW w:w="113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100</w:t>
            </w:r>
          </w:p>
        </w:tc>
        <w:tc>
          <w:tcPr>
            <w:tcW w:w="825"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100</w:t>
            </w:r>
          </w:p>
        </w:tc>
        <w:tc>
          <w:tcPr>
            <w:tcW w:w="1001" w:type="dxa"/>
            <w:vAlign w:val="center"/>
          </w:tcPr>
          <w:p>
            <w:pPr>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73" w:type="dxa"/>
            <w:vMerge w:val="continue"/>
            <w:vAlign w:val="center"/>
          </w:tcPr>
          <w:p>
            <w:pPr>
              <w:ind w:firstLine="0" w:firstLineChars="0"/>
              <w:jc w:val="center"/>
              <w:rPr>
                <w:rFonts w:ascii="Times New Roman" w:hAnsi="Times New Roman" w:eastAsia="楷体"/>
                <w:kern w:val="4"/>
                <w:sz w:val="21"/>
                <w:szCs w:val="21"/>
              </w:rPr>
            </w:pPr>
          </w:p>
        </w:tc>
        <w:tc>
          <w:tcPr>
            <w:tcW w:w="675" w:type="dxa"/>
            <w:vMerge w:val="continue"/>
            <w:vAlign w:val="center"/>
          </w:tcPr>
          <w:p>
            <w:pPr>
              <w:ind w:firstLine="0" w:firstLineChars="0"/>
              <w:jc w:val="center"/>
              <w:rPr>
                <w:rFonts w:ascii="Times New Roman" w:hAnsi="Times New Roman" w:eastAsia="楷体"/>
                <w:kern w:val="4"/>
                <w:sz w:val="21"/>
                <w:szCs w:val="21"/>
              </w:rPr>
            </w:pPr>
          </w:p>
        </w:tc>
        <w:tc>
          <w:tcPr>
            <w:tcW w:w="4370" w:type="dxa"/>
            <w:vAlign w:val="center"/>
          </w:tcPr>
          <w:p>
            <w:pPr>
              <w:ind w:firstLine="0" w:firstLineChars="0"/>
              <w:jc w:val="left"/>
              <w:rPr>
                <w:rFonts w:ascii="Times New Roman" w:hAnsi="Times New Roman" w:eastAsia="楷体"/>
                <w:kern w:val="4"/>
                <w:sz w:val="21"/>
                <w:szCs w:val="21"/>
              </w:rPr>
            </w:pPr>
            <w:r>
              <w:rPr>
                <w:rFonts w:ascii="Times New Roman" w:hAnsi="Times New Roman" w:eastAsia="楷体"/>
                <w:kern w:val="4"/>
                <w:sz w:val="21"/>
                <w:szCs w:val="21"/>
              </w:rPr>
              <w:t>8、每万人拥有公交车（标台）</w:t>
            </w:r>
          </w:p>
        </w:tc>
        <w:tc>
          <w:tcPr>
            <w:tcW w:w="99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8.25</w:t>
            </w:r>
          </w:p>
        </w:tc>
        <w:tc>
          <w:tcPr>
            <w:tcW w:w="113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12</w:t>
            </w:r>
          </w:p>
        </w:tc>
        <w:tc>
          <w:tcPr>
            <w:tcW w:w="825"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w:t>
            </w:r>
          </w:p>
        </w:tc>
        <w:tc>
          <w:tcPr>
            <w:tcW w:w="1001" w:type="dxa"/>
            <w:vAlign w:val="center"/>
          </w:tcPr>
          <w:p>
            <w:pPr>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73" w:type="dxa"/>
            <w:vMerge w:val="continue"/>
            <w:vAlign w:val="center"/>
          </w:tcPr>
          <w:p>
            <w:pPr>
              <w:ind w:firstLine="0" w:firstLineChars="0"/>
              <w:jc w:val="center"/>
              <w:rPr>
                <w:rFonts w:ascii="Times New Roman" w:hAnsi="Times New Roman" w:eastAsia="楷体"/>
                <w:kern w:val="4"/>
                <w:sz w:val="21"/>
                <w:szCs w:val="21"/>
              </w:rPr>
            </w:pPr>
          </w:p>
        </w:tc>
        <w:tc>
          <w:tcPr>
            <w:tcW w:w="675" w:type="dxa"/>
            <w:vMerge w:val="continue"/>
            <w:vAlign w:val="center"/>
          </w:tcPr>
          <w:p>
            <w:pPr>
              <w:ind w:firstLine="0" w:firstLineChars="0"/>
              <w:jc w:val="center"/>
              <w:rPr>
                <w:rFonts w:ascii="Times New Roman" w:hAnsi="Times New Roman" w:eastAsia="楷体"/>
                <w:kern w:val="4"/>
                <w:sz w:val="21"/>
                <w:szCs w:val="21"/>
              </w:rPr>
            </w:pPr>
          </w:p>
        </w:tc>
        <w:tc>
          <w:tcPr>
            <w:tcW w:w="4370" w:type="dxa"/>
            <w:vAlign w:val="center"/>
          </w:tcPr>
          <w:p>
            <w:pPr>
              <w:ind w:firstLine="0" w:firstLineChars="0"/>
              <w:jc w:val="left"/>
              <w:rPr>
                <w:rFonts w:ascii="Times New Roman" w:hAnsi="Times New Roman" w:eastAsia="楷体"/>
                <w:kern w:val="4"/>
                <w:sz w:val="21"/>
                <w:szCs w:val="21"/>
              </w:rPr>
            </w:pPr>
            <w:r>
              <w:rPr>
                <w:rFonts w:ascii="Times New Roman" w:hAnsi="Times New Roman" w:eastAsia="楷体"/>
                <w:kern w:val="4"/>
                <w:sz w:val="21"/>
                <w:szCs w:val="21"/>
              </w:rPr>
              <w:t>9、行政村道路客运班线通达率（%）</w:t>
            </w:r>
          </w:p>
        </w:tc>
        <w:tc>
          <w:tcPr>
            <w:tcW w:w="99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100</w:t>
            </w:r>
          </w:p>
        </w:tc>
        <w:tc>
          <w:tcPr>
            <w:tcW w:w="113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100</w:t>
            </w:r>
          </w:p>
        </w:tc>
        <w:tc>
          <w:tcPr>
            <w:tcW w:w="825"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100</w:t>
            </w:r>
          </w:p>
        </w:tc>
        <w:tc>
          <w:tcPr>
            <w:tcW w:w="1001" w:type="dxa"/>
            <w:vAlign w:val="center"/>
          </w:tcPr>
          <w:p>
            <w:pPr>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73" w:type="dxa"/>
            <w:vMerge w:val="continue"/>
            <w:vAlign w:val="center"/>
          </w:tcPr>
          <w:p>
            <w:pPr>
              <w:ind w:firstLine="0" w:firstLineChars="0"/>
              <w:jc w:val="center"/>
              <w:rPr>
                <w:rFonts w:ascii="Times New Roman" w:hAnsi="Times New Roman" w:eastAsia="楷体"/>
                <w:kern w:val="4"/>
                <w:sz w:val="21"/>
                <w:szCs w:val="21"/>
              </w:rPr>
            </w:pPr>
          </w:p>
        </w:tc>
        <w:tc>
          <w:tcPr>
            <w:tcW w:w="675" w:type="dxa"/>
            <w:vMerge w:val="continue"/>
            <w:vAlign w:val="center"/>
          </w:tcPr>
          <w:p>
            <w:pPr>
              <w:ind w:firstLine="0" w:firstLineChars="0"/>
              <w:jc w:val="center"/>
              <w:rPr>
                <w:rFonts w:ascii="Times New Roman" w:hAnsi="Times New Roman" w:eastAsia="楷体"/>
                <w:kern w:val="4"/>
                <w:sz w:val="21"/>
                <w:szCs w:val="21"/>
              </w:rPr>
            </w:pPr>
          </w:p>
        </w:tc>
        <w:tc>
          <w:tcPr>
            <w:tcW w:w="4370" w:type="dxa"/>
            <w:vAlign w:val="center"/>
          </w:tcPr>
          <w:p>
            <w:pPr>
              <w:ind w:firstLine="0" w:firstLineChars="0"/>
              <w:jc w:val="left"/>
              <w:rPr>
                <w:rFonts w:ascii="Times New Roman" w:hAnsi="Times New Roman" w:eastAsia="楷体"/>
                <w:kern w:val="4"/>
                <w:sz w:val="21"/>
                <w:szCs w:val="21"/>
              </w:rPr>
            </w:pPr>
            <w:r>
              <w:rPr>
                <w:rFonts w:ascii="Times New Roman" w:hAnsi="Times New Roman" w:eastAsia="楷体"/>
                <w:kern w:val="4"/>
                <w:sz w:val="21"/>
                <w:szCs w:val="21"/>
              </w:rPr>
              <w:t>10、镇村公共交通开通率（%）</w:t>
            </w:r>
          </w:p>
        </w:tc>
        <w:tc>
          <w:tcPr>
            <w:tcW w:w="99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100</w:t>
            </w:r>
          </w:p>
        </w:tc>
        <w:tc>
          <w:tcPr>
            <w:tcW w:w="113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100</w:t>
            </w:r>
          </w:p>
        </w:tc>
        <w:tc>
          <w:tcPr>
            <w:tcW w:w="825"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100</w:t>
            </w:r>
          </w:p>
        </w:tc>
        <w:tc>
          <w:tcPr>
            <w:tcW w:w="1001" w:type="dxa"/>
            <w:vAlign w:val="center"/>
          </w:tcPr>
          <w:p>
            <w:pPr>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约束</w:t>
            </w:r>
            <w:r>
              <w:rPr>
                <w:rFonts w:ascii="Times New Roman" w:hAnsi="Times New Roman" w:eastAsia="楷体"/>
                <w:kern w:val="4"/>
                <w:sz w:val="21"/>
                <w:szCs w:val="21"/>
              </w:rPr>
              <w:t>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73" w:type="dxa"/>
            <w:vMerge w:val="continue"/>
            <w:vAlign w:val="center"/>
          </w:tcPr>
          <w:p>
            <w:pPr>
              <w:ind w:firstLine="0" w:firstLineChars="0"/>
              <w:jc w:val="center"/>
              <w:rPr>
                <w:rFonts w:ascii="Times New Roman" w:hAnsi="Times New Roman" w:eastAsia="楷体"/>
                <w:kern w:val="4"/>
                <w:sz w:val="21"/>
                <w:szCs w:val="21"/>
              </w:rPr>
            </w:pPr>
          </w:p>
        </w:tc>
        <w:tc>
          <w:tcPr>
            <w:tcW w:w="675" w:type="dxa"/>
            <w:vMerge w:val="continue"/>
            <w:vAlign w:val="center"/>
          </w:tcPr>
          <w:p>
            <w:pPr>
              <w:ind w:firstLine="0" w:firstLineChars="0"/>
              <w:jc w:val="center"/>
              <w:rPr>
                <w:rFonts w:ascii="Times New Roman" w:hAnsi="Times New Roman" w:eastAsia="楷体"/>
                <w:kern w:val="4"/>
                <w:sz w:val="21"/>
                <w:szCs w:val="21"/>
              </w:rPr>
            </w:pPr>
          </w:p>
        </w:tc>
        <w:tc>
          <w:tcPr>
            <w:tcW w:w="4370" w:type="dxa"/>
            <w:vAlign w:val="center"/>
          </w:tcPr>
          <w:p>
            <w:pPr>
              <w:ind w:firstLine="0" w:firstLineChars="0"/>
              <w:jc w:val="left"/>
              <w:rPr>
                <w:rFonts w:ascii="Times New Roman" w:hAnsi="Times New Roman" w:eastAsia="楷体"/>
                <w:kern w:val="4"/>
                <w:sz w:val="21"/>
                <w:szCs w:val="21"/>
              </w:rPr>
            </w:pPr>
            <w:r>
              <w:rPr>
                <w:rFonts w:ascii="Times New Roman" w:hAnsi="Times New Roman" w:eastAsia="楷体"/>
                <w:kern w:val="4"/>
                <w:sz w:val="21"/>
                <w:szCs w:val="21"/>
              </w:rPr>
              <w:t>11、道路客运班车公司化率（%）</w:t>
            </w:r>
          </w:p>
        </w:tc>
        <w:tc>
          <w:tcPr>
            <w:tcW w:w="99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100</w:t>
            </w:r>
          </w:p>
        </w:tc>
        <w:tc>
          <w:tcPr>
            <w:tcW w:w="113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100</w:t>
            </w:r>
          </w:p>
        </w:tc>
        <w:tc>
          <w:tcPr>
            <w:tcW w:w="825"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100</w:t>
            </w:r>
          </w:p>
        </w:tc>
        <w:tc>
          <w:tcPr>
            <w:tcW w:w="1001" w:type="dxa"/>
            <w:vAlign w:val="center"/>
          </w:tcPr>
          <w:p>
            <w:pPr>
              <w:ind w:firstLine="0" w:firstLineChars="0"/>
              <w:jc w:val="center"/>
              <w:rPr>
                <w:kern w:val="4"/>
              </w:rPr>
            </w:pPr>
            <w:r>
              <w:rPr>
                <w:rFonts w:hint="eastAsia" w:ascii="Times New Roman" w:hAnsi="Times New Roman" w:eastAsia="楷体"/>
                <w:kern w:val="4"/>
                <w:sz w:val="21"/>
                <w:szCs w:val="21"/>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73" w:type="dxa"/>
            <w:vMerge w:val="continue"/>
            <w:vAlign w:val="center"/>
          </w:tcPr>
          <w:p>
            <w:pPr>
              <w:ind w:firstLine="0" w:firstLineChars="0"/>
              <w:jc w:val="center"/>
              <w:rPr>
                <w:rFonts w:ascii="Times New Roman" w:hAnsi="Times New Roman" w:eastAsia="楷体"/>
                <w:kern w:val="4"/>
                <w:sz w:val="21"/>
                <w:szCs w:val="21"/>
              </w:rPr>
            </w:pPr>
          </w:p>
        </w:tc>
        <w:tc>
          <w:tcPr>
            <w:tcW w:w="675" w:type="dxa"/>
            <w:vMerge w:val="continue"/>
            <w:vAlign w:val="center"/>
          </w:tcPr>
          <w:p>
            <w:pPr>
              <w:ind w:firstLine="0" w:firstLineChars="0"/>
              <w:jc w:val="center"/>
              <w:rPr>
                <w:rFonts w:ascii="Times New Roman" w:hAnsi="Times New Roman" w:eastAsia="楷体"/>
                <w:kern w:val="4"/>
                <w:sz w:val="21"/>
                <w:szCs w:val="21"/>
              </w:rPr>
            </w:pPr>
          </w:p>
        </w:tc>
        <w:tc>
          <w:tcPr>
            <w:tcW w:w="4370" w:type="dxa"/>
            <w:vAlign w:val="center"/>
          </w:tcPr>
          <w:p>
            <w:pPr>
              <w:ind w:firstLine="0" w:firstLineChars="0"/>
              <w:jc w:val="left"/>
              <w:rPr>
                <w:rFonts w:ascii="Times New Roman" w:hAnsi="Times New Roman" w:eastAsia="楷体"/>
                <w:kern w:val="4"/>
                <w:sz w:val="21"/>
                <w:szCs w:val="21"/>
              </w:rPr>
            </w:pPr>
            <w:r>
              <w:rPr>
                <w:rFonts w:ascii="Times New Roman" w:hAnsi="Times New Roman" w:eastAsia="楷体"/>
                <w:kern w:val="4"/>
                <w:sz w:val="21"/>
                <w:szCs w:val="21"/>
              </w:rPr>
              <w:t>12、中高级客车占营运客车占比（%）</w:t>
            </w:r>
          </w:p>
        </w:tc>
        <w:tc>
          <w:tcPr>
            <w:tcW w:w="99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w:t>
            </w:r>
          </w:p>
        </w:tc>
        <w:tc>
          <w:tcPr>
            <w:tcW w:w="113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100</w:t>
            </w:r>
          </w:p>
        </w:tc>
        <w:tc>
          <w:tcPr>
            <w:tcW w:w="825"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100</w:t>
            </w:r>
          </w:p>
        </w:tc>
        <w:tc>
          <w:tcPr>
            <w:tcW w:w="1001" w:type="dxa"/>
            <w:vAlign w:val="center"/>
          </w:tcPr>
          <w:p>
            <w:pPr>
              <w:ind w:firstLine="0" w:firstLineChars="0"/>
              <w:jc w:val="center"/>
              <w:rPr>
                <w:kern w:val="4"/>
              </w:rPr>
            </w:pPr>
            <w:r>
              <w:rPr>
                <w:rFonts w:hint="eastAsia" w:ascii="Times New Roman" w:hAnsi="Times New Roman" w:eastAsia="楷体"/>
                <w:kern w:val="4"/>
                <w:sz w:val="21"/>
                <w:szCs w:val="21"/>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73" w:type="dxa"/>
            <w:vMerge w:val="continue"/>
            <w:vAlign w:val="center"/>
          </w:tcPr>
          <w:p>
            <w:pPr>
              <w:ind w:firstLine="0" w:firstLineChars="0"/>
              <w:jc w:val="center"/>
              <w:rPr>
                <w:rFonts w:ascii="Times New Roman" w:hAnsi="Times New Roman" w:eastAsia="楷体"/>
                <w:kern w:val="4"/>
                <w:sz w:val="21"/>
                <w:szCs w:val="21"/>
              </w:rPr>
            </w:pPr>
          </w:p>
        </w:tc>
        <w:tc>
          <w:tcPr>
            <w:tcW w:w="675" w:type="dxa"/>
            <w:vMerge w:val="restart"/>
            <w:vAlign w:val="center"/>
          </w:tcPr>
          <w:p>
            <w:pPr>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货运</w:t>
            </w:r>
          </w:p>
        </w:tc>
        <w:tc>
          <w:tcPr>
            <w:tcW w:w="4370" w:type="dxa"/>
            <w:vAlign w:val="center"/>
          </w:tcPr>
          <w:p>
            <w:pPr>
              <w:ind w:firstLine="0" w:firstLineChars="0"/>
              <w:jc w:val="left"/>
              <w:rPr>
                <w:rFonts w:ascii="Times New Roman" w:hAnsi="Times New Roman" w:eastAsia="楷体"/>
                <w:kern w:val="4"/>
                <w:sz w:val="21"/>
                <w:szCs w:val="21"/>
              </w:rPr>
            </w:pPr>
            <w:r>
              <w:rPr>
                <w:rFonts w:ascii="Times New Roman" w:hAnsi="Times New Roman" w:eastAsia="楷体"/>
                <w:kern w:val="4"/>
                <w:sz w:val="21"/>
                <w:szCs w:val="21"/>
              </w:rPr>
              <w:t>13、集装箱车、厢式货车、专用货车占比</w:t>
            </w:r>
          </w:p>
        </w:tc>
        <w:tc>
          <w:tcPr>
            <w:tcW w:w="99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w:t>
            </w:r>
          </w:p>
        </w:tc>
        <w:tc>
          <w:tcPr>
            <w:tcW w:w="113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37</w:t>
            </w:r>
          </w:p>
        </w:tc>
        <w:tc>
          <w:tcPr>
            <w:tcW w:w="825"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37</w:t>
            </w:r>
          </w:p>
        </w:tc>
        <w:tc>
          <w:tcPr>
            <w:tcW w:w="1001" w:type="dxa"/>
            <w:vAlign w:val="center"/>
          </w:tcPr>
          <w:p>
            <w:pPr>
              <w:ind w:firstLine="0" w:firstLineChars="0"/>
              <w:jc w:val="center"/>
              <w:rPr>
                <w:kern w:val="4"/>
              </w:rPr>
            </w:pPr>
            <w:r>
              <w:rPr>
                <w:rFonts w:hint="eastAsia" w:ascii="Times New Roman" w:hAnsi="Times New Roman" w:eastAsia="楷体"/>
                <w:kern w:val="4"/>
                <w:sz w:val="21"/>
                <w:szCs w:val="21"/>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73" w:type="dxa"/>
            <w:vMerge w:val="continue"/>
            <w:vAlign w:val="center"/>
          </w:tcPr>
          <w:p>
            <w:pPr>
              <w:ind w:firstLine="0" w:firstLineChars="0"/>
              <w:jc w:val="center"/>
              <w:rPr>
                <w:rFonts w:ascii="Times New Roman" w:hAnsi="Times New Roman" w:eastAsia="楷体"/>
                <w:kern w:val="4"/>
                <w:sz w:val="21"/>
                <w:szCs w:val="21"/>
              </w:rPr>
            </w:pPr>
          </w:p>
        </w:tc>
        <w:tc>
          <w:tcPr>
            <w:tcW w:w="675" w:type="dxa"/>
            <w:vMerge w:val="continue"/>
            <w:vAlign w:val="center"/>
          </w:tcPr>
          <w:p>
            <w:pPr>
              <w:ind w:firstLine="0" w:firstLineChars="0"/>
              <w:jc w:val="center"/>
              <w:rPr>
                <w:rFonts w:ascii="Times New Roman" w:hAnsi="Times New Roman" w:eastAsia="楷体"/>
                <w:kern w:val="4"/>
                <w:sz w:val="21"/>
                <w:szCs w:val="21"/>
              </w:rPr>
            </w:pPr>
          </w:p>
        </w:tc>
        <w:tc>
          <w:tcPr>
            <w:tcW w:w="4370" w:type="dxa"/>
            <w:vAlign w:val="center"/>
          </w:tcPr>
          <w:p>
            <w:pPr>
              <w:ind w:firstLine="0" w:firstLineChars="0"/>
              <w:jc w:val="left"/>
              <w:rPr>
                <w:rFonts w:ascii="Times New Roman" w:hAnsi="Times New Roman" w:eastAsia="楷体"/>
                <w:kern w:val="4"/>
                <w:sz w:val="21"/>
                <w:szCs w:val="21"/>
              </w:rPr>
            </w:pPr>
            <w:r>
              <w:rPr>
                <w:rFonts w:ascii="Times New Roman" w:hAnsi="Times New Roman" w:eastAsia="楷体"/>
                <w:kern w:val="4"/>
                <w:sz w:val="21"/>
                <w:szCs w:val="21"/>
              </w:rPr>
              <w:t>14、社会物流总费用与GDP的比率（%）</w:t>
            </w:r>
          </w:p>
        </w:tc>
        <w:tc>
          <w:tcPr>
            <w:tcW w:w="99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w:t>
            </w:r>
          </w:p>
        </w:tc>
        <w:tc>
          <w:tcPr>
            <w:tcW w:w="113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14</w:t>
            </w:r>
          </w:p>
        </w:tc>
        <w:tc>
          <w:tcPr>
            <w:tcW w:w="825"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13.5</w:t>
            </w:r>
          </w:p>
        </w:tc>
        <w:tc>
          <w:tcPr>
            <w:tcW w:w="1001" w:type="dxa"/>
            <w:vAlign w:val="center"/>
          </w:tcPr>
          <w:p>
            <w:pPr>
              <w:ind w:firstLine="0" w:firstLineChars="0"/>
              <w:jc w:val="center"/>
              <w:rPr>
                <w:kern w:val="4"/>
              </w:rPr>
            </w:pPr>
            <w:r>
              <w:rPr>
                <w:rFonts w:hint="eastAsia" w:ascii="Times New Roman" w:hAnsi="Times New Roman" w:eastAsia="楷体"/>
                <w:kern w:val="4"/>
                <w:sz w:val="21"/>
                <w:szCs w:val="21"/>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48" w:type="dxa"/>
            <w:gridSpan w:val="2"/>
            <w:vMerge w:val="restart"/>
            <w:vAlign w:val="center"/>
          </w:tcPr>
          <w:p>
            <w:pPr>
              <w:ind w:firstLine="0" w:firstLineChars="0"/>
              <w:jc w:val="center"/>
              <w:rPr>
                <w:rFonts w:ascii="Times New Roman" w:hAnsi="Times New Roman" w:eastAsia="楷体"/>
                <w:spacing w:val="-16"/>
                <w:kern w:val="4"/>
                <w:sz w:val="21"/>
                <w:szCs w:val="21"/>
              </w:rPr>
            </w:pPr>
            <w:r>
              <w:rPr>
                <w:rFonts w:ascii="Times New Roman" w:hAnsi="Times New Roman" w:eastAsia="楷体"/>
                <w:spacing w:val="-16"/>
                <w:kern w:val="4"/>
                <w:sz w:val="21"/>
                <w:szCs w:val="21"/>
              </w:rPr>
              <w:t>行业管理</w:t>
            </w:r>
          </w:p>
        </w:tc>
        <w:tc>
          <w:tcPr>
            <w:tcW w:w="4370" w:type="dxa"/>
            <w:vAlign w:val="center"/>
          </w:tcPr>
          <w:p>
            <w:pPr>
              <w:ind w:firstLine="0" w:firstLineChars="0"/>
              <w:jc w:val="left"/>
              <w:rPr>
                <w:rFonts w:ascii="Times New Roman" w:hAnsi="Times New Roman" w:eastAsia="楷体"/>
                <w:spacing w:val="-16"/>
                <w:kern w:val="4"/>
                <w:sz w:val="21"/>
                <w:szCs w:val="21"/>
              </w:rPr>
            </w:pPr>
            <w:r>
              <w:rPr>
                <w:rFonts w:ascii="Times New Roman" w:hAnsi="Times New Roman" w:eastAsia="楷体"/>
                <w:spacing w:val="-16"/>
                <w:kern w:val="4"/>
                <w:sz w:val="21"/>
                <w:szCs w:val="21"/>
              </w:rPr>
              <w:t>15、普通国省公路重要节点监测覆盖率（%）</w:t>
            </w:r>
          </w:p>
        </w:tc>
        <w:tc>
          <w:tcPr>
            <w:tcW w:w="99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w:t>
            </w:r>
          </w:p>
        </w:tc>
        <w:tc>
          <w:tcPr>
            <w:tcW w:w="113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100</w:t>
            </w:r>
          </w:p>
        </w:tc>
        <w:tc>
          <w:tcPr>
            <w:tcW w:w="825"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100</w:t>
            </w:r>
          </w:p>
        </w:tc>
        <w:tc>
          <w:tcPr>
            <w:tcW w:w="1001" w:type="dxa"/>
            <w:vAlign w:val="center"/>
          </w:tcPr>
          <w:p>
            <w:pPr>
              <w:ind w:firstLine="0" w:firstLineChars="0"/>
              <w:jc w:val="center"/>
              <w:rPr>
                <w:kern w:val="4"/>
              </w:rPr>
            </w:pPr>
            <w:r>
              <w:rPr>
                <w:rFonts w:hint="eastAsia" w:ascii="Times New Roman" w:hAnsi="Times New Roman" w:eastAsia="楷体"/>
                <w:kern w:val="4"/>
                <w:sz w:val="21"/>
                <w:szCs w:val="21"/>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48" w:type="dxa"/>
            <w:gridSpan w:val="2"/>
            <w:vMerge w:val="continue"/>
            <w:vAlign w:val="center"/>
          </w:tcPr>
          <w:p>
            <w:pPr>
              <w:ind w:firstLine="0" w:firstLineChars="0"/>
              <w:jc w:val="center"/>
              <w:rPr>
                <w:rFonts w:ascii="Times New Roman" w:hAnsi="Times New Roman" w:eastAsia="楷体"/>
                <w:spacing w:val="-16"/>
                <w:kern w:val="4"/>
                <w:sz w:val="21"/>
                <w:szCs w:val="21"/>
              </w:rPr>
            </w:pPr>
          </w:p>
        </w:tc>
        <w:tc>
          <w:tcPr>
            <w:tcW w:w="4370" w:type="dxa"/>
            <w:vAlign w:val="center"/>
          </w:tcPr>
          <w:p>
            <w:pPr>
              <w:ind w:firstLine="0" w:firstLineChars="0"/>
              <w:jc w:val="left"/>
              <w:rPr>
                <w:rFonts w:ascii="Times New Roman" w:hAnsi="Times New Roman" w:eastAsia="楷体"/>
                <w:spacing w:val="-16"/>
                <w:kern w:val="4"/>
                <w:sz w:val="21"/>
                <w:szCs w:val="21"/>
              </w:rPr>
            </w:pPr>
            <w:r>
              <w:rPr>
                <w:rFonts w:ascii="Times New Roman" w:hAnsi="Times New Roman" w:eastAsia="楷体"/>
                <w:spacing w:val="-16"/>
                <w:kern w:val="4"/>
                <w:sz w:val="21"/>
                <w:szCs w:val="21"/>
              </w:rPr>
              <w:t>16、高级专业技术人才占专业技术人才的比例</w:t>
            </w:r>
            <w:r>
              <w:rPr>
                <w:rFonts w:hint="eastAsia" w:ascii="Times New Roman" w:hAnsi="Times New Roman" w:eastAsia="楷体"/>
                <w:kern w:val="4"/>
                <w:sz w:val="21"/>
                <w:szCs w:val="21"/>
              </w:rPr>
              <w:t>(</w:t>
            </w:r>
            <w:r>
              <w:rPr>
                <w:rFonts w:ascii="Times New Roman" w:hAnsi="Times New Roman" w:eastAsia="楷体"/>
                <w:kern w:val="4"/>
                <w:sz w:val="21"/>
                <w:szCs w:val="21"/>
              </w:rPr>
              <w:t>%)</w:t>
            </w:r>
          </w:p>
        </w:tc>
        <w:tc>
          <w:tcPr>
            <w:tcW w:w="99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w:t>
            </w:r>
          </w:p>
        </w:tc>
        <w:tc>
          <w:tcPr>
            <w:tcW w:w="113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12</w:t>
            </w:r>
          </w:p>
        </w:tc>
        <w:tc>
          <w:tcPr>
            <w:tcW w:w="825"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30</w:t>
            </w:r>
          </w:p>
        </w:tc>
        <w:tc>
          <w:tcPr>
            <w:tcW w:w="1001" w:type="dxa"/>
            <w:vAlign w:val="center"/>
          </w:tcPr>
          <w:p>
            <w:pPr>
              <w:ind w:firstLine="0" w:firstLineChars="0"/>
              <w:jc w:val="center"/>
              <w:rPr>
                <w:kern w:val="4"/>
              </w:rPr>
            </w:pPr>
            <w:r>
              <w:rPr>
                <w:rFonts w:hint="eastAsia" w:ascii="Times New Roman" w:hAnsi="Times New Roman" w:eastAsia="楷体"/>
                <w:kern w:val="4"/>
                <w:sz w:val="21"/>
                <w:szCs w:val="21"/>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48" w:type="dxa"/>
            <w:gridSpan w:val="2"/>
            <w:vMerge w:val="continue"/>
            <w:vAlign w:val="center"/>
          </w:tcPr>
          <w:p>
            <w:pPr>
              <w:ind w:firstLine="0" w:firstLineChars="0"/>
              <w:jc w:val="center"/>
              <w:rPr>
                <w:rFonts w:ascii="Times New Roman" w:hAnsi="Times New Roman" w:eastAsia="楷体"/>
                <w:spacing w:val="-16"/>
                <w:kern w:val="4"/>
                <w:sz w:val="21"/>
                <w:szCs w:val="21"/>
              </w:rPr>
            </w:pPr>
          </w:p>
        </w:tc>
        <w:tc>
          <w:tcPr>
            <w:tcW w:w="4370" w:type="dxa"/>
            <w:vAlign w:val="center"/>
          </w:tcPr>
          <w:p>
            <w:pPr>
              <w:ind w:firstLine="0" w:firstLineChars="0"/>
              <w:jc w:val="left"/>
              <w:rPr>
                <w:rFonts w:ascii="Times New Roman" w:hAnsi="Times New Roman" w:eastAsia="楷体"/>
                <w:spacing w:val="-16"/>
                <w:kern w:val="4"/>
                <w:sz w:val="21"/>
                <w:szCs w:val="21"/>
              </w:rPr>
            </w:pPr>
            <w:r>
              <w:rPr>
                <w:rFonts w:ascii="Times New Roman" w:hAnsi="Times New Roman" w:eastAsia="楷体"/>
                <w:spacing w:val="-16"/>
                <w:kern w:val="4"/>
                <w:sz w:val="21"/>
                <w:szCs w:val="21"/>
              </w:rPr>
              <w:t>17、高技能人才占技能劳动者的比例（%）</w:t>
            </w:r>
          </w:p>
        </w:tc>
        <w:tc>
          <w:tcPr>
            <w:tcW w:w="99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w:t>
            </w:r>
          </w:p>
        </w:tc>
        <w:tc>
          <w:tcPr>
            <w:tcW w:w="113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28</w:t>
            </w:r>
          </w:p>
        </w:tc>
        <w:tc>
          <w:tcPr>
            <w:tcW w:w="825"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28</w:t>
            </w:r>
          </w:p>
        </w:tc>
        <w:tc>
          <w:tcPr>
            <w:tcW w:w="1001" w:type="dxa"/>
            <w:vAlign w:val="center"/>
          </w:tcPr>
          <w:p>
            <w:pPr>
              <w:ind w:firstLine="0" w:firstLineChars="0"/>
              <w:jc w:val="center"/>
              <w:rPr>
                <w:kern w:val="4"/>
              </w:rPr>
            </w:pPr>
            <w:r>
              <w:rPr>
                <w:rFonts w:hint="eastAsia" w:ascii="Times New Roman" w:hAnsi="Times New Roman" w:eastAsia="楷体"/>
                <w:kern w:val="4"/>
                <w:sz w:val="21"/>
                <w:szCs w:val="21"/>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48" w:type="dxa"/>
            <w:gridSpan w:val="2"/>
            <w:vMerge w:val="continue"/>
            <w:vAlign w:val="center"/>
          </w:tcPr>
          <w:p>
            <w:pPr>
              <w:ind w:firstLine="0" w:firstLineChars="0"/>
              <w:jc w:val="center"/>
              <w:rPr>
                <w:rFonts w:ascii="Times New Roman" w:hAnsi="Times New Roman" w:eastAsia="楷体"/>
                <w:spacing w:val="-16"/>
                <w:kern w:val="4"/>
                <w:sz w:val="21"/>
                <w:szCs w:val="21"/>
              </w:rPr>
            </w:pPr>
          </w:p>
        </w:tc>
        <w:tc>
          <w:tcPr>
            <w:tcW w:w="4370" w:type="dxa"/>
            <w:vAlign w:val="center"/>
          </w:tcPr>
          <w:p>
            <w:pPr>
              <w:ind w:firstLine="0" w:firstLineChars="0"/>
              <w:jc w:val="left"/>
              <w:rPr>
                <w:rFonts w:ascii="Times New Roman" w:hAnsi="Times New Roman" w:eastAsia="楷体"/>
                <w:spacing w:val="-16"/>
                <w:kern w:val="4"/>
                <w:sz w:val="21"/>
                <w:szCs w:val="21"/>
              </w:rPr>
            </w:pPr>
            <w:r>
              <w:rPr>
                <w:rFonts w:ascii="Times New Roman" w:hAnsi="Times New Roman" w:eastAsia="楷体"/>
                <w:spacing w:val="-16"/>
                <w:kern w:val="4"/>
                <w:sz w:val="21"/>
                <w:szCs w:val="21"/>
              </w:rPr>
              <w:t>18、行政执法机构标准化率（%）</w:t>
            </w:r>
          </w:p>
        </w:tc>
        <w:tc>
          <w:tcPr>
            <w:tcW w:w="99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w:t>
            </w:r>
          </w:p>
        </w:tc>
        <w:tc>
          <w:tcPr>
            <w:tcW w:w="113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80</w:t>
            </w:r>
          </w:p>
        </w:tc>
        <w:tc>
          <w:tcPr>
            <w:tcW w:w="825"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80</w:t>
            </w:r>
          </w:p>
        </w:tc>
        <w:tc>
          <w:tcPr>
            <w:tcW w:w="1001" w:type="dxa"/>
            <w:vAlign w:val="center"/>
          </w:tcPr>
          <w:p>
            <w:pPr>
              <w:ind w:firstLine="0" w:firstLineChars="0"/>
              <w:jc w:val="center"/>
              <w:rPr>
                <w:kern w:val="4"/>
              </w:rPr>
            </w:pPr>
            <w:r>
              <w:rPr>
                <w:rFonts w:hint="eastAsia" w:ascii="Times New Roman" w:hAnsi="Times New Roman" w:eastAsia="楷体"/>
                <w:kern w:val="4"/>
                <w:sz w:val="21"/>
                <w:szCs w:val="21"/>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48" w:type="dxa"/>
            <w:gridSpan w:val="2"/>
            <w:vMerge w:val="continue"/>
            <w:vAlign w:val="center"/>
          </w:tcPr>
          <w:p>
            <w:pPr>
              <w:ind w:firstLine="0" w:firstLineChars="0"/>
              <w:jc w:val="center"/>
              <w:rPr>
                <w:rFonts w:ascii="Times New Roman" w:hAnsi="Times New Roman" w:eastAsia="楷体"/>
                <w:spacing w:val="-16"/>
                <w:kern w:val="4"/>
                <w:sz w:val="21"/>
                <w:szCs w:val="21"/>
              </w:rPr>
            </w:pPr>
          </w:p>
        </w:tc>
        <w:tc>
          <w:tcPr>
            <w:tcW w:w="4370" w:type="dxa"/>
            <w:vAlign w:val="center"/>
          </w:tcPr>
          <w:p>
            <w:pPr>
              <w:pStyle w:val="140"/>
              <w:rPr>
                <w:rFonts w:ascii="Times New Roman" w:hAnsi="Times New Roman"/>
                <w:kern w:val="4"/>
                <w:szCs w:val="21"/>
              </w:rPr>
            </w:pPr>
            <w:r>
              <w:rPr>
                <w:rFonts w:ascii="Times New Roman" w:hAnsi="Times New Roman"/>
                <w:kern w:val="4"/>
                <w:szCs w:val="21"/>
              </w:rPr>
              <w:t>19、每万车死亡率（人/万车）</w:t>
            </w:r>
          </w:p>
        </w:tc>
        <w:tc>
          <w:tcPr>
            <w:tcW w:w="99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w:t>
            </w:r>
          </w:p>
        </w:tc>
        <w:tc>
          <w:tcPr>
            <w:tcW w:w="113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w:t>
            </w:r>
          </w:p>
        </w:tc>
        <w:tc>
          <w:tcPr>
            <w:tcW w:w="825"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w:t>
            </w:r>
          </w:p>
        </w:tc>
        <w:tc>
          <w:tcPr>
            <w:tcW w:w="1001" w:type="dxa"/>
            <w:vAlign w:val="center"/>
          </w:tcPr>
          <w:p>
            <w:pPr>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约束</w:t>
            </w:r>
            <w:r>
              <w:rPr>
                <w:rFonts w:ascii="Times New Roman" w:hAnsi="Times New Roman" w:eastAsia="楷体"/>
                <w:kern w:val="4"/>
                <w:sz w:val="21"/>
                <w:szCs w:val="21"/>
              </w:rPr>
              <w:t>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48" w:type="dxa"/>
            <w:gridSpan w:val="2"/>
            <w:vMerge w:val="continue"/>
            <w:vAlign w:val="center"/>
          </w:tcPr>
          <w:p>
            <w:pPr>
              <w:ind w:firstLine="0" w:firstLineChars="0"/>
              <w:jc w:val="center"/>
              <w:rPr>
                <w:rFonts w:ascii="Times New Roman" w:hAnsi="Times New Roman" w:eastAsia="楷体"/>
                <w:spacing w:val="-16"/>
                <w:kern w:val="4"/>
                <w:sz w:val="21"/>
                <w:szCs w:val="21"/>
              </w:rPr>
            </w:pPr>
          </w:p>
        </w:tc>
        <w:tc>
          <w:tcPr>
            <w:tcW w:w="4370" w:type="dxa"/>
            <w:vAlign w:val="center"/>
          </w:tcPr>
          <w:p>
            <w:pPr>
              <w:pStyle w:val="140"/>
              <w:rPr>
                <w:rFonts w:ascii="Times New Roman" w:hAnsi="Times New Roman"/>
                <w:kern w:val="4"/>
                <w:szCs w:val="21"/>
              </w:rPr>
            </w:pPr>
            <w:r>
              <w:rPr>
                <w:rFonts w:ascii="Times New Roman" w:hAnsi="Times New Roman"/>
                <w:kern w:val="4"/>
                <w:szCs w:val="21"/>
              </w:rPr>
              <w:t>20、一般等级以上水上交通事故率（起/万艘次）</w:t>
            </w:r>
          </w:p>
        </w:tc>
        <w:tc>
          <w:tcPr>
            <w:tcW w:w="99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0</w:t>
            </w:r>
          </w:p>
        </w:tc>
        <w:tc>
          <w:tcPr>
            <w:tcW w:w="113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≤0.3</w:t>
            </w:r>
          </w:p>
        </w:tc>
        <w:tc>
          <w:tcPr>
            <w:tcW w:w="825"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≤0.3</w:t>
            </w:r>
          </w:p>
        </w:tc>
        <w:tc>
          <w:tcPr>
            <w:tcW w:w="1001" w:type="dxa"/>
            <w:vAlign w:val="center"/>
          </w:tcPr>
          <w:p>
            <w:pPr>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约束</w:t>
            </w:r>
            <w:r>
              <w:rPr>
                <w:rFonts w:ascii="Times New Roman" w:hAnsi="Times New Roman" w:eastAsia="楷体"/>
                <w:kern w:val="4"/>
                <w:sz w:val="21"/>
                <w:szCs w:val="21"/>
              </w:rPr>
              <w:t>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48" w:type="dxa"/>
            <w:gridSpan w:val="2"/>
            <w:vMerge w:val="continue"/>
            <w:vAlign w:val="center"/>
          </w:tcPr>
          <w:p>
            <w:pPr>
              <w:ind w:firstLine="0" w:firstLineChars="0"/>
              <w:jc w:val="center"/>
              <w:rPr>
                <w:rFonts w:ascii="Times New Roman" w:hAnsi="Times New Roman" w:eastAsia="楷体"/>
                <w:spacing w:val="-16"/>
                <w:kern w:val="4"/>
                <w:sz w:val="21"/>
                <w:szCs w:val="21"/>
              </w:rPr>
            </w:pPr>
          </w:p>
        </w:tc>
        <w:tc>
          <w:tcPr>
            <w:tcW w:w="4370" w:type="dxa"/>
            <w:vAlign w:val="center"/>
          </w:tcPr>
          <w:p>
            <w:pPr>
              <w:pStyle w:val="140"/>
              <w:rPr>
                <w:rFonts w:ascii="Times New Roman" w:hAnsi="Times New Roman"/>
                <w:kern w:val="4"/>
                <w:szCs w:val="21"/>
              </w:rPr>
            </w:pPr>
            <w:r>
              <w:rPr>
                <w:rFonts w:ascii="Times New Roman" w:hAnsi="Times New Roman"/>
                <w:kern w:val="4"/>
                <w:szCs w:val="21"/>
              </w:rPr>
              <w:t>21、清洁能源及新能源公交车占比（%）</w:t>
            </w:r>
          </w:p>
        </w:tc>
        <w:tc>
          <w:tcPr>
            <w:tcW w:w="99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38.5</w:t>
            </w:r>
          </w:p>
        </w:tc>
        <w:tc>
          <w:tcPr>
            <w:tcW w:w="113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70</w:t>
            </w:r>
          </w:p>
        </w:tc>
        <w:tc>
          <w:tcPr>
            <w:tcW w:w="825"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70</w:t>
            </w:r>
          </w:p>
        </w:tc>
        <w:tc>
          <w:tcPr>
            <w:tcW w:w="1001" w:type="dxa"/>
            <w:vAlign w:val="center"/>
          </w:tcPr>
          <w:p>
            <w:pPr>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48" w:type="dxa"/>
            <w:gridSpan w:val="2"/>
            <w:vMerge w:val="continue"/>
            <w:vAlign w:val="center"/>
          </w:tcPr>
          <w:p>
            <w:pPr>
              <w:ind w:firstLine="0" w:firstLineChars="0"/>
              <w:jc w:val="center"/>
              <w:rPr>
                <w:rFonts w:ascii="Times New Roman" w:hAnsi="Times New Roman" w:eastAsia="楷体"/>
                <w:spacing w:val="-16"/>
                <w:kern w:val="4"/>
                <w:sz w:val="21"/>
                <w:szCs w:val="21"/>
              </w:rPr>
            </w:pPr>
          </w:p>
        </w:tc>
        <w:tc>
          <w:tcPr>
            <w:tcW w:w="4370" w:type="dxa"/>
            <w:vAlign w:val="center"/>
          </w:tcPr>
          <w:p>
            <w:pPr>
              <w:pStyle w:val="140"/>
              <w:rPr>
                <w:rFonts w:ascii="Times New Roman" w:hAnsi="Times New Roman"/>
                <w:kern w:val="4"/>
                <w:szCs w:val="21"/>
              </w:rPr>
            </w:pPr>
            <w:r>
              <w:rPr>
                <w:rFonts w:ascii="Times New Roman" w:hAnsi="Times New Roman"/>
                <w:kern w:val="4"/>
                <w:szCs w:val="21"/>
              </w:rPr>
              <w:t>22、城乡公共客运IC卡使用率</w:t>
            </w:r>
          </w:p>
        </w:tc>
        <w:tc>
          <w:tcPr>
            <w:tcW w:w="99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100</w:t>
            </w:r>
          </w:p>
        </w:tc>
        <w:tc>
          <w:tcPr>
            <w:tcW w:w="1133"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100</w:t>
            </w:r>
          </w:p>
        </w:tc>
        <w:tc>
          <w:tcPr>
            <w:tcW w:w="825"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100</w:t>
            </w:r>
          </w:p>
        </w:tc>
        <w:tc>
          <w:tcPr>
            <w:tcW w:w="1001" w:type="dxa"/>
            <w:vAlign w:val="center"/>
          </w:tcPr>
          <w:p>
            <w:pPr>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48" w:type="dxa"/>
            <w:gridSpan w:val="2"/>
            <w:vMerge w:val="continue"/>
            <w:vAlign w:val="center"/>
          </w:tcPr>
          <w:p>
            <w:pPr>
              <w:ind w:firstLine="0" w:firstLineChars="0"/>
              <w:jc w:val="center"/>
              <w:rPr>
                <w:rFonts w:ascii="Times New Roman" w:hAnsi="Times New Roman" w:eastAsia="楷体"/>
                <w:kern w:val="4"/>
                <w:sz w:val="21"/>
                <w:szCs w:val="21"/>
              </w:rPr>
            </w:pPr>
          </w:p>
        </w:tc>
        <w:tc>
          <w:tcPr>
            <w:tcW w:w="4370" w:type="dxa"/>
            <w:vAlign w:val="center"/>
          </w:tcPr>
          <w:p>
            <w:pPr>
              <w:pStyle w:val="140"/>
              <w:rPr>
                <w:rFonts w:ascii="Times New Roman" w:hAnsi="Times New Roman"/>
                <w:kern w:val="4"/>
                <w:szCs w:val="21"/>
              </w:rPr>
            </w:pPr>
            <w:r>
              <w:rPr>
                <w:rFonts w:ascii="Times New Roman" w:hAnsi="Times New Roman"/>
                <w:kern w:val="4"/>
                <w:szCs w:val="21"/>
              </w:rPr>
              <w:t>23、交通运输执法窗口有责投诉率（%）</w:t>
            </w:r>
          </w:p>
        </w:tc>
        <w:tc>
          <w:tcPr>
            <w:tcW w:w="993" w:type="dxa"/>
            <w:vAlign w:val="center"/>
          </w:tcPr>
          <w:p>
            <w:pPr>
              <w:pStyle w:val="140"/>
              <w:jc w:val="center"/>
              <w:rPr>
                <w:rFonts w:ascii="Times New Roman" w:hAnsi="Times New Roman" w:eastAsia="仿宋_GB2312"/>
                <w:kern w:val="4"/>
                <w:sz w:val="24"/>
                <w:szCs w:val="24"/>
              </w:rPr>
            </w:pPr>
            <w:r>
              <w:rPr>
                <w:rFonts w:ascii="Times New Roman" w:hAnsi="Times New Roman" w:eastAsia="仿宋_GB2312"/>
                <w:kern w:val="4"/>
                <w:sz w:val="24"/>
                <w:szCs w:val="24"/>
              </w:rPr>
              <w:t>0</w:t>
            </w:r>
          </w:p>
        </w:tc>
        <w:tc>
          <w:tcPr>
            <w:tcW w:w="1133" w:type="dxa"/>
            <w:vAlign w:val="center"/>
          </w:tcPr>
          <w:p>
            <w:pPr>
              <w:pStyle w:val="140"/>
              <w:jc w:val="center"/>
              <w:rPr>
                <w:rFonts w:ascii="Times New Roman" w:hAnsi="Times New Roman" w:eastAsia="仿宋_GB2312"/>
                <w:kern w:val="4"/>
                <w:sz w:val="24"/>
                <w:szCs w:val="24"/>
              </w:rPr>
            </w:pPr>
            <w:r>
              <w:rPr>
                <w:rFonts w:ascii="Times New Roman" w:hAnsi="Times New Roman" w:eastAsia="仿宋_GB2312"/>
                <w:kern w:val="4"/>
                <w:sz w:val="24"/>
                <w:szCs w:val="24"/>
              </w:rPr>
              <w:t>≤4</w:t>
            </w:r>
          </w:p>
        </w:tc>
        <w:tc>
          <w:tcPr>
            <w:tcW w:w="825" w:type="dxa"/>
            <w:vAlign w:val="center"/>
          </w:tcPr>
          <w:p>
            <w:pPr>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≤4</w:t>
            </w:r>
          </w:p>
        </w:tc>
        <w:tc>
          <w:tcPr>
            <w:tcW w:w="1001" w:type="dxa"/>
            <w:vAlign w:val="center"/>
          </w:tcPr>
          <w:p>
            <w:pPr>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预期性</w:t>
            </w:r>
          </w:p>
        </w:tc>
      </w:tr>
    </w:tbl>
    <w:p>
      <w:pPr>
        <w:ind w:firstLine="0" w:firstLineChars="0"/>
        <w:rPr>
          <w:rFonts w:ascii="Times New Roman" w:hAnsi="Times New Roman" w:eastAsia="楷体"/>
          <w:kern w:val="4"/>
          <w:sz w:val="21"/>
          <w:szCs w:val="21"/>
        </w:rPr>
        <w:sectPr>
          <w:pgSz w:w="11906" w:h="16838"/>
          <w:pgMar w:top="1701" w:right="1134" w:bottom="1418" w:left="1418" w:header="1247" w:footer="992" w:gutter="0"/>
          <w:cols w:space="425" w:num="1"/>
          <w:docGrid w:linePitch="312" w:charSpace="0"/>
        </w:sectPr>
      </w:pPr>
      <w:r>
        <w:rPr>
          <w:rFonts w:ascii="Times New Roman" w:hAnsi="Times New Roman" w:eastAsia="楷体"/>
          <w:kern w:val="4"/>
          <w:sz w:val="21"/>
          <w:szCs w:val="21"/>
        </w:rPr>
        <w:t>注：“*”数据来源于《省政府关于进一步落实城市公共交通优先发展战略的实施意见》</w:t>
      </w:r>
    </w:p>
    <w:p>
      <w:pPr>
        <w:spacing w:line="1200" w:lineRule="exact"/>
        <w:ind w:firstLine="0" w:firstLineChars="0"/>
        <w:jc w:val="center"/>
        <w:outlineLvl w:val="0"/>
        <w:rPr>
          <w:rFonts w:ascii="Times New Roman" w:hAnsi="Times New Roman" w:eastAsia="华文新魏"/>
          <w:kern w:val="4"/>
          <w:sz w:val="44"/>
          <w:szCs w:val="44"/>
        </w:rPr>
      </w:pPr>
      <w:bookmarkStart w:id="31" w:name="_Toc429487895"/>
      <w:bookmarkStart w:id="32" w:name="_Toc438123195"/>
      <w:r>
        <w:rPr>
          <w:rFonts w:ascii="Times New Roman" w:hAnsi="Times New Roman" w:eastAsia="华文新魏"/>
          <w:kern w:val="4"/>
          <w:sz w:val="44"/>
          <w:szCs w:val="44"/>
        </w:rPr>
        <w:t>第四章“十三五”发展重点与任务</w:t>
      </w:r>
      <w:bookmarkEnd w:id="31"/>
      <w:bookmarkEnd w:id="32"/>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围绕指导思想和发展目标，“十三五”期间溧水交通运输发展主要任务是建成能力充分、结构合理的交通基础设施体系，打造便捷舒适、经济高效的交通运输服务体系和形成科学规范、保障有力的交通行业管理体系。</w:t>
      </w:r>
    </w:p>
    <w:p>
      <w:pPr>
        <w:spacing w:line="960" w:lineRule="exact"/>
        <w:ind w:firstLine="0" w:firstLineChars="0"/>
        <w:outlineLvl w:val="1"/>
        <w:rPr>
          <w:rFonts w:ascii="Times New Roman" w:hAnsi="Times New Roman" w:eastAsia="黑体"/>
          <w:kern w:val="4"/>
          <w:sz w:val="32"/>
          <w:szCs w:val="28"/>
        </w:rPr>
      </w:pPr>
      <w:bookmarkStart w:id="33" w:name="_Toc429487896"/>
      <w:bookmarkStart w:id="34" w:name="_Toc438123196"/>
      <w:r>
        <w:rPr>
          <w:rFonts w:ascii="Times New Roman" w:hAnsi="Times New Roman" w:eastAsia="黑体"/>
          <w:kern w:val="4"/>
          <w:sz w:val="32"/>
          <w:szCs w:val="28"/>
        </w:rPr>
        <w:t>4.1</w:t>
      </w:r>
      <w:r>
        <w:rPr>
          <w:rFonts w:hint="eastAsia" w:ascii="Times New Roman" w:hAnsi="Times New Roman" w:eastAsia="黑体"/>
          <w:kern w:val="4"/>
          <w:sz w:val="32"/>
          <w:szCs w:val="28"/>
        </w:rPr>
        <w:t>建成能力</w:t>
      </w:r>
      <w:r>
        <w:rPr>
          <w:rFonts w:ascii="Times New Roman" w:hAnsi="Times New Roman" w:eastAsia="黑体"/>
          <w:kern w:val="4"/>
          <w:sz w:val="32"/>
          <w:szCs w:val="28"/>
        </w:rPr>
        <w:t>充分、结构合理的交通基础设施体系</w:t>
      </w:r>
      <w:bookmarkEnd w:id="33"/>
      <w:bookmarkEnd w:id="34"/>
    </w:p>
    <w:p>
      <w:pPr>
        <w:spacing w:line="720" w:lineRule="exact"/>
        <w:ind w:firstLine="0" w:firstLineChars="0"/>
        <w:outlineLvl w:val="2"/>
        <w:rPr>
          <w:rFonts w:ascii="Times New Roman" w:hAnsi="Times New Roman" w:eastAsia="黑体"/>
          <w:kern w:val="4"/>
          <w:sz w:val="30"/>
          <w:szCs w:val="30"/>
        </w:rPr>
      </w:pPr>
      <w:r>
        <w:rPr>
          <w:rFonts w:ascii="Times New Roman" w:hAnsi="Times New Roman" w:eastAsia="黑体"/>
          <w:kern w:val="4"/>
          <w:sz w:val="30"/>
          <w:szCs w:val="30"/>
        </w:rPr>
        <w:t>4.1.1</w:t>
      </w:r>
      <w:r>
        <w:rPr>
          <w:rFonts w:hint="eastAsia" w:ascii="Times New Roman" w:hAnsi="Times New Roman" w:eastAsia="黑体"/>
          <w:kern w:val="4"/>
          <w:sz w:val="32"/>
          <w:szCs w:val="28"/>
        </w:rPr>
        <w:t>构建</w:t>
      </w:r>
      <w:r>
        <w:rPr>
          <w:rFonts w:ascii="Times New Roman" w:hAnsi="Times New Roman" w:eastAsia="黑体"/>
          <w:kern w:val="4"/>
          <w:sz w:val="32"/>
          <w:szCs w:val="28"/>
        </w:rPr>
        <w:t>现代化综合交通网络</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以构建现代综合交通体系为核心，科学统筹推进公路、水路、轨道、航空四大运输方式协调发展。</w:t>
      </w:r>
    </w:p>
    <w:p>
      <w:pPr>
        <w:spacing w:line="720" w:lineRule="exact"/>
        <w:ind w:firstLine="600"/>
        <w:outlineLvl w:val="3"/>
        <w:rPr>
          <w:rFonts w:ascii="Times New Roman" w:hAnsi="Times New Roman" w:eastAsia="黑体"/>
          <w:kern w:val="4"/>
          <w:sz w:val="30"/>
          <w:szCs w:val="30"/>
        </w:rPr>
      </w:pPr>
      <w:bookmarkStart w:id="35" w:name="_Toc430076908"/>
      <w:bookmarkStart w:id="36" w:name="_Toc438123197"/>
      <w:r>
        <w:rPr>
          <w:rFonts w:hint="eastAsia" w:ascii="Times New Roman" w:hAnsi="Times New Roman" w:eastAsia="黑体"/>
          <w:kern w:val="4"/>
          <w:sz w:val="30"/>
          <w:szCs w:val="30"/>
        </w:rPr>
        <w:t>（一）优化完善</w:t>
      </w:r>
      <w:r>
        <w:rPr>
          <w:rFonts w:ascii="Times New Roman" w:hAnsi="Times New Roman" w:eastAsia="黑体"/>
          <w:kern w:val="4"/>
          <w:sz w:val="30"/>
          <w:szCs w:val="30"/>
        </w:rPr>
        <w:t>公路网络布局</w:t>
      </w:r>
      <w:bookmarkEnd w:id="35"/>
      <w:bookmarkEnd w:id="36"/>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充分发挥公路运输点多面广、机动灵活、可以“门到门”的优势，全面提升公路基础设施的网络化程度、现代化水平和综合服务能力。</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（1）高速公路</w:t>
      </w:r>
    </w:p>
    <w:p>
      <w:pPr>
        <w:spacing w:line="560" w:lineRule="exact"/>
        <w:ind w:firstLine="600"/>
        <w:rPr>
          <w:rFonts w:ascii="Times New Roman" w:hAnsi="Times New Roman" w:eastAsia="仿宋_GB2312"/>
          <w:b/>
          <w:kern w:val="4"/>
          <w:sz w:val="30"/>
          <w:szCs w:val="30"/>
        </w:rPr>
      </w:pPr>
      <w:r>
        <w:rPr>
          <w:rFonts w:ascii="Times New Roman" w:hAnsi="Times New Roman" w:eastAsia="仿宋_GB2312"/>
          <w:kern w:val="4"/>
          <w:sz w:val="30"/>
          <w:szCs w:val="30"/>
        </w:rPr>
        <w:t>“十三五”期间，规划形成“两横两纵”高速公路网布局，加强与句容市、高淳区、溧阳市、马鞍山市等周边城市快速联系。重点建设</w:t>
      </w:r>
      <w:r>
        <w:rPr>
          <w:rFonts w:hint="eastAsia" w:ascii="Times New Roman" w:hAnsi="Times New Roman" w:eastAsia="仿宋_GB2312"/>
          <w:kern w:val="4"/>
          <w:sz w:val="30"/>
          <w:szCs w:val="30"/>
        </w:rPr>
        <w:t>完成</w:t>
      </w:r>
      <w:r>
        <w:rPr>
          <w:rFonts w:ascii="Times New Roman" w:hAnsi="Times New Roman" w:eastAsia="仿宋_GB2312"/>
          <w:b/>
          <w:kern w:val="4"/>
          <w:sz w:val="30"/>
          <w:szCs w:val="30"/>
        </w:rPr>
        <w:t>溧高高速溧水段，</w:t>
      </w:r>
      <w:r>
        <w:rPr>
          <w:rFonts w:ascii="Times New Roman" w:hAnsi="Times New Roman" w:eastAsia="仿宋_GB2312"/>
          <w:kern w:val="4"/>
          <w:sz w:val="30"/>
          <w:szCs w:val="30"/>
        </w:rPr>
        <w:t>全长约2公里，双向四车道高速公路，设计时速120公里/小时。</w:t>
      </w:r>
      <w:r>
        <w:rPr>
          <w:rFonts w:hint="eastAsia" w:ascii="Times New Roman" w:hAnsi="Times New Roman" w:eastAsia="仿宋_GB2312"/>
          <w:kern w:val="4"/>
          <w:sz w:val="30"/>
          <w:szCs w:val="30"/>
        </w:rPr>
        <w:t>“十三五”期间</w:t>
      </w:r>
      <w:r>
        <w:rPr>
          <w:rFonts w:ascii="Times New Roman" w:hAnsi="Times New Roman" w:eastAsia="仿宋_GB2312"/>
          <w:kern w:val="4"/>
          <w:sz w:val="30"/>
          <w:szCs w:val="30"/>
        </w:rPr>
        <w:t>项目总投资</w:t>
      </w:r>
      <w:r>
        <w:rPr>
          <w:rFonts w:hint="eastAsia" w:ascii="Times New Roman" w:hAnsi="Times New Roman" w:eastAsia="仿宋_GB2312"/>
          <w:kern w:val="4"/>
          <w:sz w:val="30"/>
          <w:szCs w:val="30"/>
        </w:rPr>
        <w:t>0.46</w:t>
      </w:r>
      <w:r>
        <w:rPr>
          <w:rFonts w:ascii="Times New Roman" w:hAnsi="Times New Roman" w:eastAsia="仿宋_GB2312"/>
          <w:kern w:val="4"/>
          <w:sz w:val="30"/>
          <w:szCs w:val="30"/>
        </w:rPr>
        <w:t>亿元，建设年限为201</w:t>
      </w:r>
      <w:r>
        <w:rPr>
          <w:rFonts w:hint="eastAsia" w:ascii="Times New Roman" w:hAnsi="Times New Roman" w:eastAsia="仿宋_GB2312"/>
          <w:kern w:val="4"/>
          <w:sz w:val="30"/>
          <w:szCs w:val="30"/>
        </w:rPr>
        <w:t>6</w:t>
      </w:r>
      <w:r>
        <w:rPr>
          <w:rFonts w:ascii="Times New Roman" w:hAnsi="Times New Roman" w:eastAsia="仿宋_GB2312"/>
          <w:kern w:val="4"/>
          <w:sz w:val="30"/>
          <w:szCs w:val="30"/>
        </w:rPr>
        <w:t>-2017年。</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（2）普通国省道</w:t>
      </w:r>
    </w:p>
    <w:p>
      <w:pPr>
        <w:spacing w:afterLines="50"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根据新一轮国省公路网规划，结合新型城镇发展和综合交通运输体系建设要求，逐步加密路网，加强路网衔接和节点联通，优先推进普通国道建设。溧水规划形成“两横四纵”普通国省道布局，普通国省道</w:t>
      </w:r>
      <w:r>
        <w:rPr>
          <w:rFonts w:hint="eastAsia" w:ascii="Times New Roman" w:hAnsi="Times New Roman" w:eastAsia="仿宋_GB2312"/>
          <w:kern w:val="4"/>
          <w:sz w:val="30"/>
          <w:szCs w:val="30"/>
        </w:rPr>
        <w:t>新改建</w:t>
      </w:r>
      <w:r>
        <w:rPr>
          <w:rFonts w:ascii="Times New Roman" w:hAnsi="Times New Roman" w:eastAsia="仿宋_GB2312"/>
          <w:kern w:val="4"/>
          <w:sz w:val="30"/>
          <w:szCs w:val="30"/>
        </w:rPr>
        <w:t>总里程85.08公里</w:t>
      </w:r>
      <w:r>
        <w:rPr>
          <w:rFonts w:ascii="Times New Roman" w:hAnsi="Times New Roman" w:eastAsia="仿宋_GB2312"/>
          <w:b/>
          <w:kern w:val="4"/>
          <w:sz w:val="30"/>
          <w:szCs w:val="30"/>
        </w:rPr>
        <w:t>。</w:t>
      </w:r>
      <w:r>
        <w:rPr>
          <w:rFonts w:ascii="Times New Roman" w:hAnsi="Times New Roman" w:eastAsia="仿宋_GB2312"/>
          <w:kern w:val="4"/>
          <w:sz w:val="30"/>
          <w:szCs w:val="30"/>
        </w:rPr>
        <w:t>“十三五”期间，规划国省道力争全部建成通车，到2020年，普通国省道公路乡镇节点覆盖率达到100%。</w:t>
      </w:r>
      <w:r>
        <w:rPr>
          <w:rFonts w:hint="eastAsia" w:ascii="Times New Roman" w:hAnsi="Times New Roman" w:eastAsia="仿宋_GB2312"/>
          <w:kern w:val="4"/>
          <w:sz w:val="30"/>
          <w:szCs w:val="30"/>
        </w:rPr>
        <w:t>同时，</w:t>
      </w:r>
      <w:r>
        <w:rPr>
          <w:rFonts w:ascii="Times New Roman" w:hAnsi="Times New Roman" w:eastAsia="仿宋_GB2312"/>
          <w:kern w:val="4"/>
          <w:sz w:val="30"/>
          <w:szCs w:val="30"/>
        </w:rPr>
        <w:t>逐步推</w:t>
      </w:r>
      <w:r>
        <w:rPr>
          <w:rFonts w:hint="eastAsia" w:ascii="Times New Roman" w:hAnsi="Times New Roman" w:eastAsia="仿宋_GB2312"/>
          <w:kern w:val="4"/>
          <w:sz w:val="30"/>
          <w:szCs w:val="30"/>
        </w:rPr>
        <w:t>进S204、S2</w:t>
      </w:r>
      <w:r>
        <w:rPr>
          <w:rFonts w:ascii="Times New Roman" w:hAnsi="Times New Roman" w:eastAsia="仿宋_GB2312"/>
          <w:kern w:val="4"/>
          <w:sz w:val="30"/>
          <w:szCs w:val="30"/>
        </w:rPr>
        <w:t>46</w:t>
      </w:r>
      <w:r>
        <w:rPr>
          <w:rFonts w:hint="eastAsia" w:ascii="Times New Roman" w:hAnsi="Times New Roman" w:eastAsia="仿宋_GB2312"/>
          <w:kern w:val="4"/>
          <w:sz w:val="30"/>
          <w:szCs w:val="30"/>
        </w:rPr>
        <w:t>、S340等普通</w:t>
      </w:r>
      <w:r>
        <w:rPr>
          <w:rFonts w:ascii="Times New Roman" w:hAnsi="Times New Roman" w:eastAsia="仿宋_GB2312"/>
          <w:kern w:val="4"/>
          <w:sz w:val="30"/>
          <w:szCs w:val="30"/>
        </w:rPr>
        <w:t>国省干线</w:t>
      </w:r>
      <w:r>
        <w:rPr>
          <w:rFonts w:hint="eastAsia" w:ascii="Times New Roman" w:hAnsi="Times New Roman" w:eastAsia="仿宋_GB2312"/>
          <w:kern w:val="4"/>
          <w:sz w:val="30"/>
          <w:szCs w:val="30"/>
        </w:rPr>
        <w:t>城区部分城市化</w:t>
      </w:r>
      <w:r>
        <w:rPr>
          <w:rFonts w:ascii="Times New Roman" w:hAnsi="Times New Roman" w:eastAsia="仿宋_GB2312"/>
          <w:kern w:val="4"/>
          <w:sz w:val="30"/>
          <w:szCs w:val="30"/>
        </w:rPr>
        <w:t>，</w:t>
      </w:r>
      <w:r>
        <w:rPr>
          <w:rFonts w:hint="eastAsia" w:ascii="Times New Roman" w:hAnsi="Times New Roman" w:eastAsia="仿宋_GB2312"/>
          <w:kern w:val="4"/>
          <w:sz w:val="30"/>
          <w:szCs w:val="30"/>
        </w:rPr>
        <w:t>基本达到城市道路的标准或要求。</w:t>
      </w:r>
    </w:p>
    <w:p>
      <w:pPr>
        <w:pBdr>
          <w:top w:val="single" w:color="auto" w:sz="4" w:space="1"/>
          <w:left w:val="single" w:color="auto" w:sz="4" w:space="4"/>
          <w:bottom w:val="single" w:color="auto" w:sz="4" w:space="1"/>
          <w:right w:val="single" w:color="auto" w:sz="4" w:space="4"/>
        </w:pBdr>
        <w:shd w:val="clear" w:color="auto" w:fill="F2F2F2"/>
        <w:spacing w:line="640" w:lineRule="exact"/>
        <w:ind w:firstLine="159" w:firstLineChars="66"/>
        <w:jc w:val="center"/>
        <w:rPr>
          <w:rFonts w:ascii="Times New Roman" w:hAnsi="Times New Roman" w:eastAsia="楷体"/>
          <w:b/>
          <w:bCs/>
          <w:kern w:val="4"/>
          <w:sz w:val="24"/>
        </w:rPr>
      </w:pPr>
      <w:r>
        <w:rPr>
          <w:rFonts w:ascii="Times New Roman" w:hAnsi="Times New Roman" w:eastAsia="楷体"/>
          <w:b/>
          <w:bCs/>
          <w:kern w:val="4"/>
          <w:sz w:val="24"/>
        </w:rPr>
        <w:t>【专栏：“两横四纵”普通国省道布局】</w:t>
      </w:r>
    </w:p>
    <w:p>
      <w:pPr>
        <w:pBdr>
          <w:top w:val="single" w:color="auto" w:sz="4" w:space="1"/>
          <w:left w:val="single" w:color="auto" w:sz="4" w:space="4"/>
          <w:bottom w:val="single" w:color="auto" w:sz="4" w:space="1"/>
          <w:right w:val="single" w:color="auto" w:sz="4" w:space="4"/>
        </w:pBdr>
        <w:shd w:val="clear" w:color="auto" w:fill="F2F2F2"/>
        <w:spacing w:line="360" w:lineRule="auto"/>
        <w:ind w:firstLine="420"/>
        <w:rPr>
          <w:rFonts w:ascii="Times New Roman" w:hAnsi="Times New Roman" w:eastAsia="楷体"/>
          <w:bCs/>
          <w:kern w:val="4"/>
          <w:sz w:val="21"/>
          <w:szCs w:val="21"/>
        </w:rPr>
      </w:pPr>
      <w:r>
        <w:rPr>
          <w:rFonts w:ascii="Times New Roman" w:hAnsi="Times New Roman" w:eastAsia="楷体"/>
          <w:b/>
          <w:bCs/>
          <w:kern w:val="4"/>
          <w:sz w:val="21"/>
          <w:szCs w:val="21"/>
        </w:rPr>
        <w:t>一横：</w:t>
      </w:r>
      <w:r>
        <w:rPr>
          <w:rFonts w:hint="eastAsia" w:ascii="Times New Roman" w:hAnsi="Times New Roman" w:eastAsia="楷体"/>
          <w:b/>
          <w:bCs/>
          <w:kern w:val="4"/>
          <w:sz w:val="21"/>
          <w:szCs w:val="21"/>
        </w:rPr>
        <w:t>S</w:t>
      </w:r>
      <w:r>
        <w:rPr>
          <w:rFonts w:ascii="Times New Roman" w:hAnsi="Times New Roman" w:eastAsia="楷体"/>
          <w:bCs/>
          <w:kern w:val="4"/>
          <w:sz w:val="21"/>
          <w:szCs w:val="21"/>
        </w:rPr>
        <w:t>340，溧水北部横向主通道，加强与马鞍山、句容、常州方向联系，同时串联柘塘、开发区、东屏镇等乡镇，加强溧水北部乡镇之间的便捷联系。</w:t>
      </w:r>
    </w:p>
    <w:p>
      <w:pPr>
        <w:pBdr>
          <w:top w:val="single" w:color="auto" w:sz="4" w:space="1"/>
          <w:left w:val="single" w:color="auto" w:sz="4" w:space="4"/>
          <w:bottom w:val="single" w:color="auto" w:sz="4" w:space="1"/>
          <w:right w:val="single" w:color="auto" w:sz="4" w:space="4"/>
        </w:pBdr>
        <w:shd w:val="clear" w:color="auto" w:fill="F2F2F2"/>
        <w:spacing w:line="360" w:lineRule="auto"/>
        <w:ind w:firstLine="420"/>
        <w:rPr>
          <w:rFonts w:ascii="Times New Roman" w:hAnsi="Times New Roman" w:eastAsia="楷体"/>
          <w:b/>
          <w:bCs/>
          <w:kern w:val="4"/>
          <w:sz w:val="21"/>
          <w:szCs w:val="21"/>
        </w:rPr>
      </w:pPr>
      <w:r>
        <w:rPr>
          <w:rFonts w:ascii="Times New Roman" w:hAnsi="Times New Roman" w:eastAsia="楷体"/>
          <w:b/>
          <w:bCs/>
          <w:kern w:val="4"/>
          <w:sz w:val="21"/>
          <w:szCs w:val="21"/>
        </w:rPr>
        <w:t>二横：</w:t>
      </w:r>
      <w:r>
        <w:rPr>
          <w:rFonts w:hint="eastAsia" w:ascii="Times New Roman" w:hAnsi="Times New Roman" w:eastAsia="楷体"/>
          <w:b/>
          <w:bCs/>
          <w:kern w:val="4"/>
          <w:sz w:val="21"/>
          <w:szCs w:val="21"/>
        </w:rPr>
        <w:t>S</w:t>
      </w:r>
      <w:r>
        <w:rPr>
          <w:rFonts w:ascii="Times New Roman" w:hAnsi="Times New Roman" w:eastAsia="楷体"/>
          <w:bCs/>
          <w:kern w:val="4"/>
          <w:sz w:val="21"/>
          <w:szCs w:val="21"/>
        </w:rPr>
        <w:t>341，溧水中部横向主通道，加强与安徽省马鞍山市、溧阳市，同时串联石湫镇、洪蓝镇、晶桥镇、白马镇等乡镇，加强乡镇之间的便捷联系。</w:t>
      </w:r>
    </w:p>
    <w:p>
      <w:pPr>
        <w:pBdr>
          <w:top w:val="single" w:color="auto" w:sz="4" w:space="1"/>
          <w:left w:val="single" w:color="auto" w:sz="4" w:space="4"/>
          <w:bottom w:val="single" w:color="auto" w:sz="4" w:space="1"/>
          <w:right w:val="single" w:color="auto" w:sz="4" w:space="4"/>
        </w:pBdr>
        <w:shd w:val="clear" w:color="auto" w:fill="F2F2F2"/>
        <w:spacing w:line="360" w:lineRule="auto"/>
        <w:ind w:firstLine="420"/>
        <w:rPr>
          <w:rFonts w:ascii="Times New Roman" w:hAnsi="Times New Roman" w:eastAsia="楷体"/>
          <w:b/>
          <w:bCs/>
          <w:kern w:val="4"/>
          <w:sz w:val="21"/>
          <w:szCs w:val="21"/>
        </w:rPr>
      </w:pPr>
      <w:r>
        <w:rPr>
          <w:rFonts w:ascii="Times New Roman" w:hAnsi="Times New Roman" w:eastAsia="楷体"/>
          <w:b/>
          <w:bCs/>
          <w:kern w:val="4"/>
          <w:sz w:val="21"/>
          <w:szCs w:val="21"/>
        </w:rPr>
        <w:t>一纵：</w:t>
      </w:r>
      <w:r>
        <w:rPr>
          <w:rFonts w:hint="eastAsia" w:ascii="Times New Roman" w:hAnsi="Times New Roman" w:eastAsia="楷体"/>
          <w:b/>
          <w:bCs/>
          <w:kern w:val="4"/>
          <w:sz w:val="21"/>
          <w:szCs w:val="21"/>
        </w:rPr>
        <w:t>G</w:t>
      </w:r>
      <w:r>
        <w:rPr>
          <w:rFonts w:ascii="Times New Roman" w:hAnsi="Times New Roman" w:eastAsia="楷体"/>
          <w:bCs/>
          <w:kern w:val="4"/>
          <w:sz w:val="21"/>
          <w:szCs w:val="21"/>
        </w:rPr>
        <w:t>235（宁高新通道）</w:t>
      </w:r>
      <w:r>
        <w:rPr>
          <w:rFonts w:ascii="Times New Roman" w:hAnsi="Times New Roman" w:eastAsia="楷体"/>
          <w:b/>
          <w:bCs/>
          <w:kern w:val="4"/>
          <w:sz w:val="21"/>
          <w:szCs w:val="21"/>
        </w:rPr>
        <w:t>，</w:t>
      </w:r>
      <w:r>
        <w:rPr>
          <w:rFonts w:ascii="Times New Roman" w:hAnsi="Times New Roman" w:eastAsia="楷体"/>
          <w:bCs/>
          <w:kern w:val="4"/>
          <w:sz w:val="21"/>
          <w:szCs w:val="21"/>
        </w:rPr>
        <w:t>南京通往高淳、溧水重要通道，向南加强与南京市的联系，同时加强各乡镇之间联系。</w:t>
      </w:r>
    </w:p>
    <w:p>
      <w:pPr>
        <w:pBdr>
          <w:top w:val="single" w:color="auto" w:sz="4" w:space="1"/>
          <w:left w:val="single" w:color="auto" w:sz="4" w:space="4"/>
          <w:bottom w:val="single" w:color="auto" w:sz="4" w:space="1"/>
          <w:right w:val="single" w:color="auto" w:sz="4" w:space="4"/>
        </w:pBdr>
        <w:shd w:val="clear" w:color="auto" w:fill="F2F2F2"/>
        <w:spacing w:line="360" w:lineRule="auto"/>
        <w:ind w:firstLine="420"/>
        <w:rPr>
          <w:rFonts w:ascii="Times New Roman" w:hAnsi="Times New Roman" w:eastAsia="楷体"/>
          <w:bCs/>
          <w:kern w:val="4"/>
          <w:sz w:val="21"/>
          <w:szCs w:val="21"/>
        </w:rPr>
      </w:pPr>
      <w:r>
        <w:rPr>
          <w:rFonts w:ascii="Times New Roman" w:hAnsi="Times New Roman" w:eastAsia="楷体"/>
          <w:b/>
          <w:bCs/>
          <w:kern w:val="4"/>
          <w:sz w:val="21"/>
          <w:szCs w:val="21"/>
        </w:rPr>
        <w:t>二纵：</w:t>
      </w:r>
      <w:r>
        <w:rPr>
          <w:rFonts w:hint="eastAsia" w:ascii="Times New Roman" w:hAnsi="Times New Roman" w:eastAsia="楷体"/>
          <w:b/>
          <w:bCs/>
          <w:kern w:val="4"/>
          <w:sz w:val="21"/>
          <w:szCs w:val="21"/>
        </w:rPr>
        <w:t>S</w:t>
      </w:r>
      <w:r>
        <w:rPr>
          <w:rFonts w:ascii="Times New Roman" w:hAnsi="Times New Roman" w:eastAsia="楷体"/>
          <w:bCs/>
          <w:kern w:val="4"/>
          <w:sz w:val="21"/>
          <w:szCs w:val="21"/>
        </w:rPr>
        <w:t>204（原123省道），是南京通往高淳、溧水及安徽宣城的主要通道。宁高联网收费的实行，使该道路的交通量增长迅速，现有的道路急需进行扩容。</w:t>
      </w:r>
    </w:p>
    <w:p>
      <w:pPr>
        <w:pBdr>
          <w:top w:val="single" w:color="auto" w:sz="4" w:space="1"/>
          <w:left w:val="single" w:color="auto" w:sz="4" w:space="4"/>
          <w:bottom w:val="single" w:color="auto" w:sz="4" w:space="1"/>
          <w:right w:val="single" w:color="auto" w:sz="4" w:space="4"/>
        </w:pBdr>
        <w:shd w:val="clear" w:color="auto" w:fill="F2F2F2"/>
        <w:spacing w:line="360" w:lineRule="auto"/>
        <w:ind w:firstLine="420"/>
        <w:rPr>
          <w:rFonts w:ascii="Times New Roman" w:hAnsi="Times New Roman" w:eastAsia="楷体"/>
          <w:bCs/>
          <w:kern w:val="4"/>
          <w:sz w:val="21"/>
          <w:szCs w:val="21"/>
        </w:rPr>
      </w:pPr>
      <w:r>
        <w:rPr>
          <w:rFonts w:ascii="Times New Roman" w:hAnsi="Times New Roman" w:eastAsia="楷体"/>
          <w:b/>
          <w:bCs/>
          <w:kern w:val="4"/>
          <w:sz w:val="21"/>
          <w:szCs w:val="21"/>
        </w:rPr>
        <w:t>三纵：</w:t>
      </w:r>
      <w:r>
        <w:rPr>
          <w:rFonts w:hint="eastAsia" w:ascii="Times New Roman" w:hAnsi="Times New Roman" w:eastAsia="楷体"/>
          <w:b/>
          <w:bCs/>
          <w:kern w:val="4"/>
          <w:sz w:val="21"/>
          <w:szCs w:val="21"/>
        </w:rPr>
        <w:t>S</w:t>
      </w:r>
      <w:r>
        <w:rPr>
          <w:rFonts w:ascii="Times New Roman" w:hAnsi="Times New Roman" w:eastAsia="楷体"/>
          <w:bCs/>
          <w:kern w:val="4"/>
          <w:sz w:val="21"/>
          <w:szCs w:val="21"/>
        </w:rPr>
        <w:t>246，溧水东部纵向主通道，向北加强与南京主城区的联系，向南加强与高淳区、安徽省郎溪县联系，同时串联溧水开发区、东屏、永阳、晶桥等乡镇，加强乡镇之间的便捷联系。</w:t>
      </w:r>
    </w:p>
    <w:p>
      <w:pPr>
        <w:pBdr>
          <w:top w:val="single" w:color="auto" w:sz="4" w:space="1"/>
          <w:left w:val="single" w:color="auto" w:sz="4" w:space="4"/>
          <w:bottom w:val="single" w:color="auto" w:sz="4" w:space="1"/>
          <w:right w:val="single" w:color="auto" w:sz="4" w:space="4"/>
        </w:pBdr>
        <w:shd w:val="clear" w:color="auto" w:fill="F2F2F2"/>
        <w:spacing w:line="360" w:lineRule="auto"/>
        <w:ind w:firstLine="420"/>
        <w:rPr>
          <w:rFonts w:ascii="Times New Roman" w:hAnsi="Times New Roman" w:eastAsia="楷体"/>
          <w:bCs/>
          <w:kern w:val="4"/>
          <w:sz w:val="21"/>
          <w:szCs w:val="21"/>
        </w:rPr>
      </w:pPr>
      <w:r>
        <w:rPr>
          <w:rFonts w:ascii="Times New Roman" w:hAnsi="Times New Roman" w:eastAsia="楷体"/>
          <w:b/>
          <w:bCs/>
          <w:kern w:val="4"/>
          <w:sz w:val="21"/>
          <w:szCs w:val="21"/>
        </w:rPr>
        <w:t>四纵：</w:t>
      </w:r>
      <w:r>
        <w:rPr>
          <w:rFonts w:hint="eastAsia" w:ascii="Times New Roman" w:hAnsi="Times New Roman" w:eastAsia="楷体"/>
          <w:b/>
          <w:bCs/>
          <w:kern w:val="4"/>
          <w:sz w:val="21"/>
          <w:szCs w:val="21"/>
        </w:rPr>
        <w:t>S</w:t>
      </w:r>
      <w:r>
        <w:rPr>
          <w:rFonts w:ascii="Times New Roman" w:hAnsi="Times New Roman" w:eastAsia="楷体"/>
          <w:bCs/>
          <w:kern w:val="4"/>
          <w:sz w:val="21"/>
          <w:szCs w:val="21"/>
        </w:rPr>
        <w:t>243，溧水西部纵向主通道，向北与镇江市联系，向南对接</w:t>
      </w:r>
      <w:r>
        <w:rPr>
          <w:rFonts w:hint="eastAsia" w:ascii="Times New Roman" w:hAnsi="Times New Roman" w:eastAsia="楷体"/>
          <w:bCs/>
          <w:kern w:val="4"/>
          <w:sz w:val="21"/>
          <w:szCs w:val="21"/>
        </w:rPr>
        <w:t>S</w:t>
      </w:r>
      <w:r>
        <w:rPr>
          <w:rFonts w:ascii="Times New Roman" w:hAnsi="Times New Roman" w:eastAsia="楷体"/>
          <w:bCs/>
          <w:kern w:val="4"/>
          <w:sz w:val="21"/>
          <w:szCs w:val="21"/>
        </w:rPr>
        <w:t>341、同时串联柘塘镇、石湫镇，加强联系。</w:t>
      </w:r>
    </w:p>
    <w:p>
      <w:pPr>
        <w:spacing w:beforeLines="80" w:line="560" w:lineRule="exact"/>
        <w:ind w:firstLine="420" w:firstLineChars="0"/>
        <w:rPr>
          <w:rFonts w:ascii="Times New Roman" w:hAnsi="Times New Roman" w:eastAsia="仿宋_GB2312"/>
          <w:kern w:val="4"/>
          <w:sz w:val="30"/>
          <w:szCs w:val="30"/>
        </w:rPr>
      </w:pPr>
      <w:r>
        <w:rPr>
          <w:rFonts w:ascii="Times New Roman" w:hAnsi="Times New Roman" w:eastAsia="仿宋_GB2312"/>
          <w:kern w:val="4"/>
          <w:sz w:val="30"/>
          <w:szCs w:val="30"/>
        </w:rPr>
        <w:t>“十三五”期间，普通国省道新改建规模86.75公里。建设项目具体如下：</w:t>
      </w:r>
    </w:p>
    <w:p>
      <w:pPr>
        <w:spacing w:line="560" w:lineRule="exact"/>
        <w:ind w:firstLine="602"/>
        <w:rPr>
          <w:rFonts w:ascii="Times New Roman" w:hAnsi="Times New Roman" w:eastAsia="仿宋_GB2312"/>
          <w:kern w:val="4"/>
          <w:sz w:val="30"/>
          <w:szCs w:val="30"/>
        </w:rPr>
      </w:pPr>
      <w:r>
        <w:rPr>
          <w:rFonts w:ascii="Times New Roman" w:hAnsi="Times New Roman" w:eastAsia="仿宋_GB2312"/>
          <w:b/>
          <w:kern w:val="4"/>
          <w:sz w:val="30"/>
          <w:szCs w:val="30"/>
        </w:rPr>
        <w:t>——续建</w:t>
      </w:r>
      <w:r>
        <w:rPr>
          <w:rFonts w:hint="eastAsia" w:ascii="Times New Roman" w:hAnsi="Times New Roman" w:eastAsia="仿宋_GB2312"/>
          <w:b/>
          <w:kern w:val="4"/>
          <w:sz w:val="30"/>
          <w:szCs w:val="30"/>
        </w:rPr>
        <w:t>S</w:t>
      </w:r>
      <w:r>
        <w:rPr>
          <w:rFonts w:ascii="Times New Roman" w:hAnsi="Times New Roman" w:eastAsia="仿宋_GB2312"/>
          <w:b/>
          <w:kern w:val="4"/>
          <w:sz w:val="30"/>
          <w:szCs w:val="30"/>
        </w:rPr>
        <w:t>340溧水段，</w:t>
      </w:r>
      <w:r>
        <w:rPr>
          <w:rFonts w:ascii="Times New Roman" w:hAnsi="Times New Roman" w:eastAsia="仿宋_GB2312"/>
          <w:kern w:val="4"/>
          <w:sz w:val="30"/>
          <w:szCs w:val="30"/>
        </w:rPr>
        <w:t>全长约17.77公里</w:t>
      </w:r>
      <w:r>
        <w:rPr>
          <w:rFonts w:hint="eastAsia" w:ascii="Times New Roman" w:hAnsi="Times New Roman" w:eastAsia="仿宋_GB2312"/>
          <w:kern w:val="4"/>
          <w:sz w:val="30"/>
          <w:szCs w:val="30"/>
        </w:rPr>
        <w:t>（已建4</w:t>
      </w:r>
      <w:r>
        <w:rPr>
          <w:rFonts w:ascii="Times New Roman" w:hAnsi="Times New Roman" w:eastAsia="仿宋_GB2312"/>
          <w:kern w:val="4"/>
          <w:sz w:val="30"/>
          <w:szCs w:val="30"/>
        </w:rPr>
        <w:t>.6</w:t>
      </w:r>
      <w:r>
        <w:rPr>
          <w:rFonts w:hint="eastAsia" w:ascii="Times New Roman" w:hAnsi="Times New Roman" w:eastAsia="仿宋_GB2312"/>
          <w:kern w:val="4"/>
          <w:sz w:val="30"/>
          <w:szCs w:val="30"/>
        </w:rPr>
        <w:t>公里）</w:t>
      </w:r>
      <w:r>
        <w:rPr>
          <w:rFonts w:ascii="Times New Roman" w:hAnsi="Times New Roman" w:eastAsia="仿宋_GB2312"/>
          <w:kern w:val="4"/>
          <w:sz w:val="30"/>
          <w:szCs w:val="30"/>
        </w:rPr>
        <w:t>，双向四车道一级公路，项目总投资5.76亿元，建设年限为2011-2017年。</w:t>
      </w:r>
    </w:p>
    <w:p>
      <w:pPr>
        <w:spacing w:line="560" w:lineRule="exact"/>
        <w:ind w:firstLine="602"/>
        <w:rPr>
          <w:rFonts w:ascii="Times New Roman" w:hAnsi="Times New Roman" w:eastAsia="仿宋_GB2312"/>
          <w:kern w:val="4"/>
          <w:sz w:val="30"/>
          <w:szCs w:val="30"/>
        </w:rPr>
      </w:pPr>
      <w:r>
        <w:rPr>
          <w:rFonts w:ascii="Times New Roman" w:hAnsi="Times New Roman" w:eastAsia="仿宋_GB2312"/>
          <w:b/>
          <w:kern w:val="4"/>
          <w:sz w:val="30"/>
          <w:szCs w:val="30"/>
        </w:rPr>
        <w:t>——续建</w:t>
      </w:r>
      <w:r>
        <w:rPr>
          <w:rFonts w:hint="eastAsia" w:ascii="Times New Roman" w:hAnsi="Times New Roman" w:eastAsia="仿宋_GB2312"/>
          <w:b/>
          <w:kern w:val="4"/>
          <w:sz w:val="30"/>
          <w:szCs w:val="30"/>
        </w:rPr>
        <w:t>S</w:t>
      </w:r>
      <w:r>
        <w:rPr>
          <w:rFonts w:ascii="Times New Roman" w:hAnsi="Times New Roman" w:eastAsia="仿宋_GB2312"/>
          <w:b/>
          <w:kern w:val="4"/>
          <w:sz w:val="30"/>
          <w:szCs w:val="30"/>
        </w:rPr>
        <w:t>341溧水段，</w:t>
      </w:r>
      <w:r>
        <w:rPr>
          <w:rFonts w:ascii="Times New Roman" w:hAnsi="Times New Roman" w:eastAsia="仿宋_GB2312"/>
          <w:kern w:val="4"/>
          <w:sz w:val="30"/>
          <w:szCs w:val="30"/>
        </w:rPr>
        <w:t>全长约34.91公里</w:t>
      </w:r>
      <w:r>
        <w:rPr>
          <w:rFonts w:hint="eastAsia" w:ascii="Times New Roman" w:hAnsi="Times New Roman" w:eastAsia="仿宋_GB2312"/>
          <w:kern w:val="4"/>
          <w:sz w:val="30"/>
          <w:szCs w:val="30"/>
        </w:rPr>
        <w:t>（已建</w:t>
      </w:r>
      <w:r>
        <w:rPr>
          <w:rFonts w:ascii="Times New Roman" w:hAnsi="Times New Roman" w:eastAsia="仿宋_GB2312"/>
          <w:kern w:val="4"/>
          <w:sz w:val="30"/>
          <w:szCs w:val="30"/>
        </w:rPr>
        <w:t>21.9</w:t>
      </w:r>
      <w:r>
        <w:rPr>
          <w:rFonts w:hint="eastAsia" w:ascii="Times New Roman" w:hAnsi="Times New Roman" w:eastAsia="仿宋_GB2312"/>
          <w:kern w:val="4"/>
          <w:sz w:val="30"/>
          <w:szCs w:val="30"/>
        </w:rPr>
        <w:t>公里）</w:t>
      </w:r>
      <w:r>
        <w:rPr>
          <w:rFonts w:ascii="Times New Roman" w:hAnsi="Times New Roman" w:eastAsia="仿宋_GB2312"/>
          <w:kern w:val="4"/>
          <w:sz w:val="30"/>
          <w:szCs w:val="30"/>
        </w:rPr>
        <w:t>，双向四车道一级公路，项目总投资14.37亿元，建设年限为2013-2016年。</w:t>
      </w:r>
    </w:p>
    <w:p>
      <w:pPr>
        <w:spacing w:line="560" w:lineRule="exact"/>
        <w:ind w:firstLine="602"/>
        <w:rPr>
          <w:rFonts w:ascii="Times New Roman" w:hAnsi="Times New Roman" w:eastAsia="仿宋_GB2312"/>
          <w:kern w:val="4"/>
          <w:sz w:val="30"/>
          <w:szCs w:val="30"/>
        </w:rPr>
      </w:pPr>
      <w:r>
        <w:rPr>
          <w:rFonts w:ascii="Times New Roman" w:hAnsi="Times New Roman" w:eastAsia="仿宋_GB2312"/>
          <w:b/>
          <w:kern w:val="4"/>
          <w:sz w:val="30"/>
          <w:szCs w:val="30"/>
        </w:rPr>
        <w:t>——续建</w:t>
      </w:r>
      <w:r>
        <w:rPr>
          <w:rFonts w:hint="eastAsia" w:ascii="Times New Roman" w:hAnsi="Times New Roman" w:eastAsia="仿宋_GB2312"/>
          <w:b/>
          <w:kern w:val="4"/>
          <w:sz w:val="30"/>
          <w:szCs w:val="30"/>
        </w:rPr>
        <w:t>S</w:t>
      </w:r>
      <w:r>
        <w:rPr>
          <w:rFonts w:ascii="Times New Roman" w:hAnsi="Times New Roman" w:eastAsia="仿宋_GB2312"/>
          <w:b/>
          <w:kern w:val="4"/>
          <w:sz w:val="30"/>
          <w:szCs w:val="30"/>
        </w:rPr>
        <w:t>246溧水北延段，</w:t>
      </w:r>
      <w:r>
        <w:rPr>
          <w:rFonts w:ascii="Times New Roman" w:hAnsi="Times New Roman" w:eastAsia="仿宋_GB2312"/>
          <w:kern w:val="4"/>
          <w:sz w:val="30"/>
          <w:szCs w:val="30"/>
        </w:rPr>
        <w:t>全长约13.88公里</w:t>
      </w:r>
      <w:r>
        <w:rPr>
          <w:rFonts w:hint="eastAsia" w:ascii="Times New Roman" w:hAnsi="Times New Roman" w:eastAsia="仿宋_GB2312"/>
          <w:kern w:val="4"/>
          <w:sz w:val="30"/>
          <w:szCs w:val="30"/>
        </w:rPr>
        <w:t>（已建</w:t>
      </w:r>
      <w:r>
        <w:rPr>
          <w:rFonts w:ascii="Times New Roman" w:hAnsi="Times New Roman" w:eastAsia="仿宋_GB2312"/>
          <w:kern w:val="4"/>
          <w:sz w:val="30"/>
          <w:szCs w:val="30"/>
        </w:rPr>
        <w:t>11.68</w:t>
      </w:r>
      <w:r>
        <w:rPr>
          <w:rFonts w:hint="eastAsia" w:ascii="Times New Roman" w:hAnsi="Times New Roman" w:eastAsia="仿宋_GB2312"/>
          <w:kern w:val="4"/>
          <w:sz w:val="30"/>
          <w:szCs w:val="30"/>
        </w:rPr>
        <w:t>公里）</w:t>
      </w:r>
      <w:r>
        <w:rPr>
          <w:rFonts w:ascii="Times New Roman" w:hAnsi="Times New Roman" w:eastAsia="仿宋_GB2312"/>
          <w:kern w:val="4"/>
          <w:sz w:val="30"/>
          <w:szCs w:val="30"/>
        </w:rPr>
        <w:t>，双向四车道一级公路，项目总投资</w:t>
      </w:r>
      <w:r>
        <w:rPr>
          <w:rFonts w:hint="eastAsia" w:ascii="Times New Roman" w:hAnsi="Times New Roman" w:eastAsia="仿宋_GB2312"/>
          <w:kern w:val="4"/>
          <w:sz w:val="30"/>
          <w:szCs w:val="30"/>
        </w:rPr>
        <w:t>7.37</w:t>
      </w:r>
      <w:r>
        <w:rPr>
          <w:rFonts w:ascii="Times New Roman" w:hAnsi="Times New Roman" w:eastAsia="仿宋_GB2312"/>
          <w:kern w:val="4"/>
          <w:sz w:val="30"/>
          <w:szCs w:val="30"/>
        </w:rPr>
        <w:t>亿元，建设年限为2014-2016年。</w:t>
      </w:r>
    </w:p>
    <w:p>
      <w:pPr>
        <w:spacing w:line="560" w:lineRule="exact"/>
        <w:ind w:firstLine="602"/>
        <w:rPr>
          <w:rFonts w:ascii="Times New Roman" w:hAnsi="Times New Roman" w:eastAsia="仿宋_GB2312"/>
          <w:kern w:val="4"/>
          <w:sz w:val="30"/>
          <w:szCs w:val="30"/>
        </w:rPr>
      </w:pPr>
      <w:r>
        <w:rPr>
          <w:rFonts w:ascii="Times New Roman" w:hAnsi="Times New Roman" w:eastAsia="仿宋_GB2312"/>
          <w:b/>
          <w:kern w:val="4"/>
          <w:sz w:val="30"/>
          <w:szCs w:val="30"/>
        </w:rPr>
        <w:t>——</w:t>
      </w:r>
      <w:r>
        <w:rPr>
          <w:rFonts w:hint="eastAsia" w:ascii="Times New Roman" w:hAnsi="Times New Roman" w:eastAsia="仿宋_GB2312"/>
          <w:b/>
          <w:kern w:val="4"/>
          <w:sz w:val="30"/>
          <w:szCs w:val="30"/>
        </w:rPr>
        <w:t>完成S</w:t>
      </w:r>
      <w:r>
        <w:rPr>
          <w:rFonts w:ascii="Times New Roman" w:hAnsi="Times New Roman" w:eastAsia="仿宋_GB2312"/>
          <w:b/>
          <w:kern w:val="4"/>
          <w:sz w:val="30"/>
          <w:szCs w:val="30"/>
        </w:rPr>
        <w:t>204改扩建工程，</w:t>
      </w:r>
      <w:r>
        <w:rPr>
          <w:rFonts w:ascii="Times New Roman" w:hAnsi="Times New Roman" w:eastAsia="仿宋_GB2312"/>
          <w:kern w:val="4"/>
          <w:sz w:val="30"/>
          <w:szCs w:val="30"/>
        </w:rPr>
        <w:t>全长约52.37公里，双向四车道一级公路，</w:t>
      </w:r>
      <w:r>
        <w:rPr>
          <w:rFonts w:hint="eastAsia" w:ascii="Times New Roman" w:hAnsi="Times New Roman" w:eastAsia="仿宋_GB2312"/>
          <w:kern w:val="4"/>
          <w:sz w:val="30"/>
          <w:szCs w:val="30"/>
        </w:rPr>
        <w:t>项目</w:t>
      </w:r>
      <w:r>
        <w:rPr>
          <w:rFonts w:ascii="Times New Roman" w:hAnsi="Times New Roman" w:eastAsia="仿宋_GB2312"/>
          <w:kern w:val="4"/>
          <w:sz w:val="30"/>
          <w:szCs w:val="30"/>
        </w:rPr>
        <w:t>总投资38.30亿元，建设年限为2017-2019年。</w:t>
      </w:r>
    </w:p>
    <w:p>
      <w:pPr>
        <w:spacing w:line="560" w:lineRule="exact"/>
        <w:ind w:firstLine="600"/>
        <w:rPr>
          <w:rFonts w:ascii="Times New Roman" w:hAnsi="Times New Roman" w:eastAsia="仿宋_GB2312"/>
          <w:kern w:val="4"/>
          <w:sz w:val="30"/>
          <w:szCs w:val="30"/>
        </w:rPr>
      </w:pPr>
      <w:r>
        <w:rPr>
          <w:rFonts w:hint="eastAsia" w:ascii="Times New Roman" w:hAnsi="Times New Roman" w:eastAsia="仿宋_GB2312"/>
          <w:kern w:val="4"/>
          <w:sz w:val="30"/>
          <w:szCs w:val="30"/>
        </w:rPr>
        <w:t>——</w:t>
      </w:r>
      <w:r>
        <w:rPr>
          <w:rFonts w:hint="eastAsia" w:ascii="Times New Roman" w:hAnsi="Times New Roman" w:eastAsia="仿宋_GB2312"/>
          <w:b/>
          <w:kern w:val="4"/>
          <w:sz w:val="30"/>
          <w:szCs w:val="30"/>
        </w:rPr>
        <w:t>开工并建成</w:t>
      </w:r>
      <w:r>
        <w:rPr>
          <w:rFonts w:ascii="Times New Roman" w:hAnsi="Times New Roman" w:eastAsia="仿宋_GB2312"/>
          <w:b/>
          <w:kern w:val="4"/>
          <w:sz w:val="30"/>
          <w:szCs w:val="30"/>
        </w:rPr>
        <w:t>S446</w:t>
      </w:r>
      <w:r>
        <w:rPr>
          <w:rFonts w:hint="eastAsia" w:ascii="Times New Roman" w:hAnsi="Times New Roman" w:eastAsia="仿宋_GB2312"/>
          <w:kern w:val="4"/>
          <w:sz w:val="30"/>
          <w:szCs w:val="30"/>
        </w:rPr>
        <w:t>，</w:t>
      </w:r>
      <w:r>
        <w:rPr>
          <w:rFonts w:ascii="Times New Roman" w:hAnsi="Times New Roman" w:eastAsia="仿宋_GB2312"/>
          <w:kern w:val="4"/>
          <w:sz w:val="30"/>
          <w:szCs w:val="30"/>
        </w:rPr>
        <w:t>全</w:t>
      </w:r>
      <w:r>
        <w:rPr>
          <w:rFonts w:hint="eastAsia" w:ascii="Times New Roman" w:hAnsi="Times New Roman" w:eastAsia="仿宋_GB2312"/>
          <w:kern w:val="4"/>
          <w:sz w:val="30"/>
          <w:szCs w:val="30"/>
        </w:rPr>
        <w:t>长约6</w:t>
      </w:r>
      <w:r>
        <w:rPr>
          <w:rFonts w:ascii="Times New Roman" w:hAnsi="Times New Roman" w:eastAsia="仿宋_GB2312"/>
          <w:kern w:val="4"/>
          <w:sz w:val="30"/>
          <w:szCs w:val="30"/>
        </w:rPr>
        <w:t>.00</w:t>
      </w:r>
      <w:r>
        <w:rPr>
          <w:rFonts w:hint="eastAsia" w:ascii="Times New Roman" w:hAnsi="Times New Roman" w:eastAsia="仿宋_GB2312"/>
          <w:kern w:val="4"/>
          <w:sz w:val="30"/>
          <w:szCs w:val="30"/>
        </w:rPr>
        <w:t>公里</w:t>
      </w:r>
      <w:r>
        <w:rPr>
          <w:rFonts w:ascii="Times New Roman" w:hAnsi="Times New Roman" w:eastAsia="仿宋_GB2312"/>
          <w:kern w:val="4"/>
          <w:sz w:val="30"/>
          <w:szCs w:val="30"/>
        </w:rPr>
        <w:t>，双向四车道一级公路，</w:t>
      </w:r>
      <w:r>
        <w:rPr>
          <w:rFonts w:hint="eastAsia" w:ascii="Times New Roman" w:hAnsi="Times New Roman" w:eastAsia="仿宋_GB2312"/>
          <w:kern w:val="4"/>
          <w:sz w:val="30"/>
          <w:szCs w:val="30"/>
        </w:rPr>
        <w:t>项目</w:t>
      </w:r>
      <w:r>
        <w:rPr>
          <w:rFonts w:ascii="Times New Roman" w:hAnsi="Times New Roman" w:eastAsia="仿宋_GB2312"/>
          <w:kern w:val="4"/>
          <w:sz w:val="30"/>
          <w:szCs w:val="30"/>
        </w:rPr>
        <w:t>总投资</w:t>
      </w:r>
      <w:r>
        <w:rPr>
          <w:rFonts w:hint="eastAsia" w:ascii="Times New Roman" w:hAnsi="Times New Roman" w:eastAsia="仿宋_GB2312"/>
          <w:kern w:val="4"/>
          <w:sz w:val="30"/>
          <w:szCs w:val="30"/>
        </w:rPr>
        <w:t>3.00亿元</w:t>
      </w:r>
      <w:r>
        <w:rPr>
          <w:rFonts w:ascii="Times New Roman" w:hAnsi="Times New Roman" w:eastAsia="仿宋_GB2312"/>
          <w:kern w:val="4"/>
          <w:sz w:val="30"/>
          <w:szCs w:val="30"/>
        </w:rPr>
        <w:t>，建设年限为2019-2020年</w:t>
      </w:r>
      <w:r>
        <w:rPr>
          <w:rFonts w:hint="eastAsia" w:ascii="Times New Roman" w:hAnsi="Times New Roman" w:eastAsia="仿宋_GB2312"/>
          <w:kern w:val="4"/>
          <w:sz w:val="30"/>
          <w:szCs w:val="30"/>
        </w:rPr>
        <w:t>。</w:t>
      </w:r>
    </w:p>
    <w:p>
      <w:pPr>
        <w:spacing w:line="560" w:lineRule="exact"/>
        <w:ind w:firstLine="170" w:firstLineChars="71"/>
        <w:jc w:val="center"/>
        <w:rPr>
          <w:rFonts w:ascii="Times New Roman" w:hAnsi="Times New Roman" w:eastAsia="黑体"/>
          <w:bCs/>
          <w:kern w:val="4"/>
          <w:sz w:val="24"/>
        </w:rPr>
      </w:pPr>
      <w:r>
        <w:rPr>
          <w:rFonts w:ascii="Times New Roman" w:hAnsi="Times New Roman" w:eastAsia="黑体"/>
          <w:bCs/>
          <w:kern w:val="4"/>
          <w:sz w:val="24"/>
        </w:rPr>
        <w:t>表4-1   溧水区普通国省道规划布局方案表（单位：公里）</w:t>
      </w:r>
    </w:p>
    <w:tbl>
      <w:tblPr>
        <w:tblStyle w:val="30"/>
        <w:tblW w:w="907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749"/>
        <w:gridCol w:w="1804"/>
        <w:gridCol w:w="1275"/>
        <w:gridCol w:w="1045"/>
        <w:gridCol w:w="1224"/>
        <w:gridCol w:w="1275"/>
        <w:gridCol w:w="170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9" w:hRule="atLeast"/>
          <w:tblHeader/>
          <w:jc w:val="center"/>
        </w:trPr>
        <w:tc>
          <w:tcPr>
            <w:tcW w:w="749" w:type="dxa"/>
            <w:tcBorders>
              <w:top w:val="double" w:color="auto" w:sz="4" w:space="0"/>
            </w:tcBorders>
            <w:vAlign w:val="center"/>
          </w:tcPr>
          <w:p>
            <w:pPr>
              <w:spacing w:line="400" w:lineRule="exact"/>
              <w:ind w:firstLine="0" w:firstLineChars="0"/>
              <w:jc w:val="center"/>
              <w:rPr>
                <w:rFonts w:ascii="Times New Roman" w:hAnsi="Times New Roman" w:eastAsia="楷体"/>
                <w:b/>
                <w:kern w:val="4"/>
                <w:sz w:val="24"/>
              </w:rPr>
            </w:pPr>
            <w:r>
              <w:rPr>
                <w:rFonts w:ascii="Times New Roman" w:hAnsi="Times New Roman" w:eastAsia="楷体"/>
                <w:b/>
                <w:kern w:val="4"/>
                <w:sz w:val="24"/>
              </w:rPr>
              <w:t>序号</w:t>
            </w:r>
          </w:p>
        </w:tc>
        <w:tc>
          <w:tcPr>
            <w:tcW w:w="1804" w:type="dxa"/>
            <w:tcBorders>
              <w:top w:val="double" w:color="auto" w:sz="4" w:space="0"/>
            </w:tcBorders>
            <w:vAlign w:val="center"/>
          </w:tcPr>
          <w:p>
            <w:pPr>
              <w:spacing w:line="400" w:lineRule="exact"/>
              <w:ind w:firstLine="0" w:firstLineChars="0"/>
              <w:jc w:val="center"/>
              <w:rPr>
                <w:rFonts w:ascii="Times New Roman" w:hAnsi="Times New Roman" w:eastAsia="楷体"/>
                <w:b/>
                <w:kern w:val="4"/>
                <w:sz w:val="24"/>
              </w:rPr>
            </w:pPr>
            <w:r>
              <w:rPr>
                <w:rFonts w:ascii="Times New Roman" w:hAnsi="Times New Roman" w:eastAsia="楷体"/>
                <w:b/>
                <w:kern w:val="4"/>
                <w:sz w:val="24"/>
              </w:rPr>
              <w:t>线路编号</w:t>
            </w:r>
          </w:p>
        </w:tc>
        <w:tc>
          <w:tcPr>
            <w:tcW w:w="1275" w:type="dxa"/>
            <w:tcBorders>
              <w:top w:val="double" w:color="auto" w:sz="4" w:space="0"/>
            </w:tcBorders>
            <w:vAlign w:val="center"/>
          </w:tcPr>
          <w:p>
            <w:pPr>
              <w:spacing w:line="400" w:lineRule="exact"/>
              <w:ind w:firstLine="0" w:firstLineChars="0"/>
              <w:jc w:val="center"/>
              <w:rPr>
                <w:rFonts w:ascii="Times New Roman" w:hAnsi="Times New Roman" w:eastAsia="楷体"/>
                <w:b/>
                <w:kern w:val="4"/>
                <w:sz w:val="24"/>
              </w:rPr>
            </w:pPr>
            <w:r>
              <w:rPr>
                <w:rFonts w:ascii="Times New Roman" w:hAnsi="Times New Roman" w:eastAsia="楷体"/>
                <w:b/>
                <w:kern w:val="4"/>
                <w:sz w:val="24"/>
              </w:rPr>
              <w:t>起点</w:t>
            </w:r>
          </w:p>
        </w:tc>
        <w:tc>
          <w:tcPr>
            <w:tcW w:w="1045" w:type="dxa"/>
            <w:tcBorders>
              <w:top w:val="double" w:color="auto" w:sz="4" w:space="0"/>
            </w:tcBorders>
            <w:vAlign w:val="center"/>
          </w:tcPr>
          <w:p>
            <w:pPr>
              <w:spacing w:line="400" w:lineRule="exact"/>
              <w:ind w:firstLine="0" w:firstLineChars="0"/>
              <w:jc w:val="center"/>
              <w:rPr>
                <w:rFonts w:ascii="Times New Roman" w:hAnsi="Times New Roman" w:eastAsia="楷体"/>
                <w:b/>
                <w:kern w:val="4"/>
                <w:sz w:val="24"/>
              </w:rPr>
            </w:pPr>
            <w:r>
              <w:rPr>
                <w:rFonts w:ascii="Times New Roman" w:hAnsi="Times New Roman" w:eastAsia="楷体"/>
                <w:b/>
                <w:kern w:val="4"/>
                <w:sz w:val="24"/>
              </w:rPr>
              <w:t>终点</w:t>
            </w:r>
          </w:p>
        </w:tc>
        <w:tc>
          <w:tcPr>
            <w:tcW w:w="1224" w:type="dxa"/>
            <w:tcBorders>
              <w:top w:val="double" w:color="auto" w:sz="4" w:space="0"/>
            </w:tcBorders>
            <w:vAlign w:val="center"/>
          </w:tcPr>
          <w:p>
            <w:pPr>
              <w:spacing w:line="400" w:lineRule="exact"/>
              <w:ind w:firstLine="0" w:firstLineChars="0"/>
              <w:jc w:val="center"/>
              <w:rPr>
                <w:rFonts w:ascii="Times New Roman" w:hAnsi="Times New Roman" w:eastAsia="楷体"/>
                <w:b/>
                <w:kern w:val="4"/>
                <w:sz w:val="24"/>
              </w:rPr>
            </w:pPr>
            <w:r>
              <w:rPr>
                <w:rFonts w:ascii="Times New Roman" w:hAnsi="Times New Roman" w:eastAsia="楷体"/>
                <w:b/>
                <w:kern w:val="4"/>
                <w:sz w:val="24"/>
              </w:rPr>
              <w:t>线路里程</w:t>
            </w:r>
          </w:p>
        </w:tc>
        <w:tc>
          <w:tcPr>
            <w:tcW w:w="1275" w:type="dxa"/>
            <w:tcBorders>
              <w:top w:val="double" w:color="auto" w:sz="4" w:space="0"/>
            </w:tcBorders>
            <w:vAlign w:val="center"/>
          </w:tcPr>
          <w:p>
            <w:pPr>
              <w:spacing w:line="400" w:lineRule="exact"/>
              <w:ind w:firstLine="0" w:firstLineChars="0"/>
              <w:jc w:val="center"/>
              <w:rPr>
                <w:rFonts w:ascii="Times New Roman" w:hAnsi="Times New Roman" w:eastAsia="楷体"/>
                <w:b/>
                <w:kern w:val="4"/>
                <w:sz w:val="24"/>
              </w:rPr>
            </w:pPr>
            <w:r>
              <w:rPr>
                <w:rFonts w:ascii="Times New Roman" w:hAnsi="Times New Roman" w:eastAsia="楷体"/>
                <w:b/>
                <w:kern w:val="4"/>
                <w:sz w:val="24"/>
              </w:rPr>
              <w:t>建议等级</w:t>
            </w:r>
          </w:p>
        </w:tc>
        <w:tc>
          <w:tcPr>
            <w:tcW w:w="1700" w:type="dxa"/>
            <w:tcBorders>
              <w:top w:val="double" w:color="auto" w:sz="4" w:space="0"/>
            </w:tcBorders>
            <w:vAlign w:val="center"/>
          </w:tcPr>
          <w:p>
            <w:pPr>
              <w:spacing w:line="400" w:lineRule="exact"/>
              <w:ind w:firstLine="0" w:firstLineChars="0"/>
              <w:jc w:val="center"/>
              <w:rPr>
                <w:rFonts w:ascii="Times New Roman" w:hAnsi="Times New Roman" w:eastAsia="楷体"/>
                <w:b/>
                <w:kern w:val="4"/>
                <w:sz w:val="24"/>
              </w:rPr>
            </w:pPr>
            <w:r>
              <w:rPr>
                <w:rFonts w:ascii="Times New Roman" w:hAnsi="Times New Roman" w:eastAsia="楷体"/>
                <w:b/>
                <w:kern w:val="4"/>
                <w:sz w:val="24"/>
              </w:rPr>
              <w:t>备注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749" w:type="dxa"/>
            <w:vAlign w:val="center"/>
          </w:tcPr>
          <w:p>
            <w:pPr>
              <w:spacing w:line="400" w:lineRule="exact"/>
              <w:ind w:firstLine="0" w:firstLineChars="0"/>
              <w:jc w:val="center"/>
              <w:rPr>
                <w:rFonts w:ascii="Times New Roman" w:hAnsi="Times New Roman" w:eastAsia="楷体"/>
                <w:kern w:val="4"/>
                <w:sz w:val="24"/>
              </w:rPr>
            </w:pPr>
            <w:r>
              <w:rPr>
                <w:rFonts w:ascii="Times New Roman" w:hAnsi="Times New Roman" w:eastAsia="楷体"/>
                <w:kern w:val="4"/>
                <w:sz w:val="24"/>
              </w:rPr>
              <w:t>1</w:t>
            </w:r>
          </w:p>
        </w:tc>
        <w:tc>
          <w:tcPr>
            <w:tcW w:w="1804" w:type="dxa"/>
            <w:vAlign w:val="center"/>
          </w:tcPr>
          <w:p>
            <w:pPr>
              <w:spacing w:line="400" w:lineRule="exact"/>
              <w:ind w:firstLine="0" w:firstLineChars="0"/>
              <w:jc w:val="center"/>
              <w:rPr>
                <w:rFonts w:ascii="Times New Roman" w:hAnsi="Times New Roman" w:eastAsia="楷体"/>
                <w:kern w:val="4"/>
                <w:sz w:val="24"/>
              </w:rPr>
            </w:pPr>
            <w:r>
              <w:rPr>
                <w:rFonts w:ascii="Times New Roman" w:hAnsi="Times New Roman" w:eastAsia="楷体"/>
                <w:kern w:val="4"/>
                <w:sz w:val="24"/>
              </w:rPr>
              <w:t>S204溧水段</w:t>
            </w:r>
          </w:p>
        </w:tc>
        <w:tc>
          <w:tcPr>
            <w:tcW w:w="1275" w:type="dxa"/>
            <w:vAlign w:val="center"/>
          </w:tcPr>
          <w:p>
            <w:pPr>
              <w:spacing w:line="400" w:lineRule="exact"/>
              <w:ind w:firstLine="0" w:firstLineChars="0"/>
              <w:jc w:val="center"/>
              <w:rPr>
                <w:rFonts w:ascii="Times New Roman" w:hAnsi="Times New Roman" w:eastAsia="楷体"/>
                <w:kern w:val="4"/>
                <w:sz w:val="24"/>
              </w:rPr>
            </w:pPr>
            <w:r>
              <w:rPr>
                <w:rFonts w:ascii="Times New Roman" w:hAnsi="Times New Roman" w:eastAsia="楷体"/>
                <w:kern w:val="4"/>
                <w:sz w:val="24"/>
              </w:rPr>
              <w:t>溧水柘塘乌刹桥</w:t>
            </w:r>
          </w:p>
        </w:tc>
        <w:tc>
          <w:tcPr>
            <w:tcW w:w="1045" w:type="dxa"/>
            <w:vAlign w:val="center"/>
          </w:tcPr>
          <w:p>
            <w:pPr>
              <w:spacing w:line="400" w:lineRule="exact"/>
              <w:ind w:firstLine="0" w:firstLineChars="0"/>
              <w:jc w:val="center"/>
              <w:rPr>
                <w:rFonts w:ascii="Times New Roman" w:hAnsi="Times New Roman" w:eastAsia="楷体"/>
                <w:kern w:val="4"/>
                <w:sz w:val="24"/>
              </w:rPr>
            </w:pPr>
            <w:r>
              <w:rPr>
                <w:rFonts w:ascii="Times New Roman" w:hAnsi="Times New Roman" w:eastAsia="楷体"/>
                <w:kern w:val="4"/>
                <w:sz w:val="24"/>
              </w:rPr>
              <w:t>和凤</w:t>
            </w:r>
          </w:p>
        </w:tc>
        <w:tc>
          <w:tcPr>
            <w:tcW w:w="1224" w:type="dxa"/>
            <w:vAlign w:val="center"/>
          </w:tcPr>
          <w:p>
            <w:pPr>
              <w:spacing w:line="400" w:lineRule="exact"/>
              <w:ind w:firstLine="0" w:firstLineChars="0"/>
              <w:jc w:val="center"/>
              <w:rPr>
                <w:rFonts w:ascii="Times New Roman" w:hAnsi="Times New Roman" w:eastAsia="楷体"/>
                <w:kern w:val="4"/>
                <w:sz w:val="24"/>
              </w:rPr>
            </w:pPr>
            <w:r>
              <w:rPr>
                <w:rFonts w:ascii="Times New Roman" w:hAnsi="Times New Roman" w:eastAsia="楷体"/>
                <w:kern w:val="4"/>
                <w:sz w:val="24"/>
              </w:rPr>
              <w:t>52.37</w:t>
            </w:r>
          </w:p>
        </w:tc>
        <w:tc>
          <w:tcPr>
            <w:tcW w:w="1275" w:type="dxa"/>
            <w:vAlign w:val="center"/>
          </w:tcPr>
          <w:p>
            <w:pPr>
              <w:spacing w:line="400" w:lineRule="exact"/>
              <w:ind w:firstLine="0" w:firstLineChars="0"/>
              <w:jc w:val="center"/>
              <w:rPr>
                <w:rFonts w:ascii="Times New Roman" w:hAnsi="Times New Roman" w:eastAsia="楷体"/>
                <w:kern w:val="4"/>
                <w:sz w:val="24"/>
              </w:rPr>
            </w:pPr>
            <w:r>
              <w:rPr>
                <w:rFonts w:ascii="Times New Roman" w:hAnsi="Times New Roman" w:eastAsia="楷体"/>
                <w:kern w:val="4"/>
                <w:sz w:val="24"/>
              </w:rPr>
              <w:t>一级</w:t>
            </w:r>
          </w:p>
        </w:tc>
        <w:tc>
          <w:tcPr>
            <w:tcW w:w="1700" w:type="dxa"/>
            <w:vAlign w:val="center"/>
          </w:tcPr>
          <w:p>
            <w:pPr>
              <w:spacing w:line="400" w:lineRule="exact"/>
              <w:ind w:firstLine="0" w:firstLineChars="0"/>
              <w:jc w:val="center"/>
              <w:rPr>
                <w:rFonts w:ascii="Times New Roman" w:hAnsi="Times New Roman" w:eastAsia="楷体"/>
                <w:kern w:val="4"/>
                <w:sz w:val="24"/>
              </w:rPr>
            </w:pPr>
            <w:r>
              <w:rPr>
                <w:rFonts w:ascii="Times New Roman" w:hAnsi="Times New Roman" w:eastAsia="楷体"/>
                <w:kern w:val="4"/>
                <w:sz w:val="24"/>
              </w:rPr>
              <w:t>改扩建</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749" w:type="dxa"/>
            <w:vAlign w:val="center"/>
          </w:tcPr>
          <w:p>
            <w:pPr>
              <w:spacing w:line="400" w:lineRule="exact"/>
              <w:ind w:firstLine="0" w:firstLineChars="0"/>
              <w:jc w:val="center"/>
              <w:rPr>
                <w:rFonts w:ascii="Times New Roman" w:hAnsi="Times New Roman" w:eastAsia="楷体"/>
                <w:kern w:val="4"/>
                <w:sz w:val="24"/>
              </w:rPr>
            </w:pPr>
            <w:r>
              <w:rPr>
                <w:rFonts w:ascii="Times New Roman" w:hAnsi="Times New Roman" w:eastAsia="楷体"/>
                <w:kern w:val="4"/>
                <w:sz w:val="24"/>
              </w:rPr>
              <w:t>2</w:t>
            </w:r>
          </w:p>
        </w:tc>
        <w:tc>
          <w:tcPr>
            <w:tcW w:w="1804" w:type="dxa"/>
            <w:vAlign w:val="center"/>
          </w:tcPr>
          <w:p>
            <w:pPr>
              <w:spacing w:line="400" w:lineRule="exact"/>
              <w:ind w:firstLine="0" w:firstLineChars="0"/>
              <w:jc w:val="center"/>
              <w:rPr>
                <w:rFonts w:ascii="Times New Roman" w:hAnsi="Times New Roman" w:eastAsia="楷体"/>
                <w:kern w:val="4"/>
                <w:sz w:val="24"/>
              </w:rPr>
            </w:pPr>
            <w:r>
              <w:rPr>
                <w:rFonts w:ascii="Times New Roman" w:hAnsi="Times New Roman" w:eastAsia="楷体"/>
                <w:kern w:val="4"/>
                <w:sz w:val="24"/>
              </w:rPr>
              <w:t>S340溧水段</w:t>
            </w:r>
          </w:p>
        </w:tc>
        <w:tc>
          <w:tcPr>
            <w:tcW w:w="1275" w:type="dxa"/>
            <w:vAlign w:val="center"/>
          </w:tcPr>
          <w:p>
            <w:pPr>
              <w:spacing w:line="400" w:lineRule="exact"/>
              <w:ind w:firstLine="0" w:firstLineChars="0"/>
              <w:jc w:val="center"/>
              <w:rPr>
                <w:rFonts w:ascii="Times New Roman" w:hAnsi="Times New Roman" w:eastAsia="楷体"/>
                <w:kern w:val="4"/>
                <w:sz w:val="24"/>
              </w:rPr>
            </w:pPr>
            <w:r>
              <w:rPr>
                <w:rFonts w:ascii="Times New Roman" w:hAnsi="Times New Roman" w:eastAsia="楷体"/>
                <w:kern w:val="4"/>
                <w:sz w:val="24"/>
              </w:rPr>
              <w:t>东屏镇</w:t>
            </w:r>
          </w:p>
        </w:tc>
        <w:tc>
          <w:tcPr>
            <w:tcW w:w="1045" w:type="dxa"/>
            <w:vAlign w:val="center"/>
          </w:tcPr>
          <w:p>
            <w:pPr>
              <w:spacing w:line="400" w:lineRule="exact"/>
              <w:ind w:firstLine="0" w:firstLineChars="0"/>
              <w:jc w:val="center"/>
              <w:rPr>
                <w:rFonts w:ascii="Times New Roman" w:hAnsi="Times New Roman" w:eastAsia="楷体"/>
                <w:kern w:val="4"/>
                <w:sz w:val="24"/>
              </w:rPr>
            </w:pPr>
            <w:r>
              <w:rPr>
                <w:rFonts w:ascii="Times New Roman" w:hAnsi="Times New Roman" w:eastAsia="楷体"/>
                <w:kern w:val="4"/>
                <w:sz w:val="24"/>
              </w:rPr>
              <w:t>柘塘镇</w:t>
            </w:r>
          </w:p>
        </w:tc>
        <w:tc>
          <w:tcPr>
            <w:tcW w:w="1224" w:type="dxa"/>
            <w:vAlign w:val="center"/>
          </w:tcPr>
          <w:p>
            <w:pPr>
              <w:spacing w:line="400" w:lineRule="exact"/>
              <w:ind w:firstLine="0" w:firstLineChars="0"/>
              <w:jc w:val="center"/>
              <w:rPr>
                <w:rFonts w:ascii="Times New Roman" w:hAnsi="Times New Roman" w:eastAsia="楷体"/>
                <w:kern w:val="4"/>
                <w:sz w:val="24"/>
              </w:rPr>
            </w:pPr>
            <w:r>
              <w:rPr>
                <w:rFonts w:ascii="Times New Roman" w:hAnsi="Times New Roman" w:eastAsia="楷体"/>
                <w:kern w:val="4"/>
                <w:sz w:val="24"/>
              </w:rPr>
              <w:t>17.77</w:t>
            </w:r>
          </w:p>
        </w:tc>
        <w:tc>
          <w:tcPr>
            <w:tcW w:w="1275" w:type="dxa"/>
            <w:vAlign w:val="center"/>
          </w:tcPr>
          <w:p>
            <w:pPr>
              <w:spacing w:line="400" w:lineRule="exact"/>
              <w:ind w:firstLine="0" w:firstLineChars="0"/>
              <w:jc w:val="center"/>
              <w:rPr>
                <w:rFonts w:ascii="Times New Roman" w:hAnsi="Times New Roman" w:eastAsia="楷体"/>
                <w:kern w:val="4"/>
                <w:sz w:val="24"/>
              </w:rPr>
            </w:pPr>
            <w:r>
              <w:rPr>
                <w:rFonts w:ascii="Times New Roman" w:hAnsi="Times New Roman" w:eastAsia="楷体"/>
                <w:kern w:val="4"/>
                <w:sz w:val="24"/>
              </w:rPr>
              <w:t>一级</w:t>
            </w:r>
          </w:p>
        </w:tc>
        <w:tc>
          <w:tcPr>
            <w:tcW w:w="1700" w:type="dxa"/>
            <w:vAlign w:val="center"/>
          </w:tcPr>
          <w:p>
            <w:pPr>
              <w:spacing w:line="400" w:lineRule="exact"/>
              <w:ind w:firstLine="0" w:firstLineChars="0"/>
              <w:jc w:val="center"/>
              <w:rPr>
                <w:rFonts w:ascii="Times New Roman" w:hAnsi="Times New Roman" w:eastAsia="楷体"/>
                <w:kern w:val="4"/>
                <w:sz w:val="24"/>
              </w:rPr>
            </w:pPr>
            <w:r>
              <w:rPr>
                <w:rFonts w:ascii="Times New Roman" w:hAnsi="Times New Roman" w:eastAsia="楷体"/>
                <w:kern w:val="4"/>
                <w:sz w:val="24"/>
              </w:rPr>
              <w:t>续建</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749" w:type="dxa"/>
            <w:vAlign w:val="center"/>
          </w:tcPr>
          <w:p>
            <w:pPr>
              <w:spacing w:line="400" w:lineRule="exact"/>
              <w:ind w:firstLine="0" w:firstLineChars="0"/>
              <w:jc w:val="center"/>
              <w:rPr>
                <w:rFonts w:ascii="Times New Roman" w:hAnsi="Times New Roman" w:eastAsia="楷体"/>
                <w:kern w:val="4"/>
                <w:sz w:val="24"/>
              </w:rPr>
            </w:pPr>
            <w:r>
              <w:rPr>
                <w:rFonts w:ascii="Times New Roman" w:hAnsi="Times New Roman" w:eastAsia="楷体"/>
                <w:kern w:val="4"/>
                <w:sz w:val="24"/>
              </w:rPr>
              <w:t>3</w:t>
            </w:r>
          </w:p>
        </w:tc>
        <w:tc>
          <w:tcPr>
            <w:tcW w:w="1804" w:type="dxa"/>
            <w:vAlign w:val="center"/>
          </w:tcPr>
          <w:p>
            <w:pPr>
              <w:spacing w:line="400" w:lineRule="exact"/>
              <w:ind w:firstLine="0" w:firstLineChars="0"/>
              <w:jc w:val="center"/>
              <w:rPr>
                <w:rFonts w:ascii="Times New Roman" w:hAnsi="Times New Roman" w:eastAsia="楷体"/>
                <w:kern w:val="4"/>
                <w:sz w:val="24"/>
              </w:rPr>
            </w:pPr>
            <w:r>
              <w:rPr>
                <w:rFonts w:ascii="Times New Roman" w:hAnsi="Times New Roman" w:eastAsia="楷体"/>
                <w:kern w:val="4"/>
                <w:sz w:val="24"/>
              </w:rPr>
              <w:t>S341溧水段</w:t>
            </w:r>
          </w:p>
        </w:tc>
        <w:tc>
          <w:tcPr>
            <w:tcW w:w="1275" w:type="dxa"/>
            <w:vAlign w:val="center"/>
          </w:tcPr>
          <w:p>
            <w:pPr>
              <w:spacing w:line="400" w:lineRule="exact"/>
              <w:ind w:firstLine="0" w:firstLineChars="0"/>
              <w:jc w:val="center"/>
              <w:rPr>
                <w:rFonts w:ascii="Times New Roman" w:hAnsi="Times New Roman" w:eastAsia="楷体"/>
                <w:kern w:val="4"/>
                <w:sz w:val="24"/>
              </w:rPr>
            </w:pPr>
            <w:r>
              <w:rPr>
                <w:rFonts w:ascii="Times New Roman" w:hAnsi="Times New Roman" w:eastAsia="楷体"/>
                <w:kern w:val="4"/>
                <w:sz w:val="24"/>
              </w:rPr>
              <w:t>白马镇</w:t>
            </w:r>
          </w:p>
        </w:tc>
        <w:tc>
          <w:tcPr>
            <w:tcW w:w="1045" w:type="dxa"/>
            <w:vAlign w:val="center"/>
          </w:tcPr>
          <w:p>
            <w:pPr>
              <w:spacing w:line="400" w:lineRule="exact"/>
              <w:ind w:firstLine="0" w:firstLineChars="0"/>
              <w:jc w:val="center"/>
              <w:rPr>
                <w:rFonts w:ascii="Times New Roman" w:hAnsi="Times New Roman" w:eastAsia="楷体"/>
                <w:kern w:val="4"/>
                <w:sz w:val="24"/>
              </w:rPr>
            </w:pPr>
            <w:r>
              <w:rPr>
                <w:rFonts w:ascii="Times New Roman" w:hAnsi="Times New Roman" w:eastAsia="楷体"/>
                <w:kern w:val="4"/>
                <w:sz w:val="24"/>
              </w:rPr>
              <w:t>石湫镇</w:t>
            </w:r>
          </w:p>
        </w:tc>
        <w:tc>
          <w:tcPr>
            <w:tcW w:w="1224" w:type="dxa"/>
            <w:vAlign w:val="center"/>
          </w:tcPr>
          <w:p>
            <w:pPr>
              <w:spacing w:line="400" w:lineRule="exact"/>
              <w:ind w:firstLine="0" w:firstLineChars="0"/>
              <w:jc w:val="center"/>
              <w:rPr>
                <w:rFonts w:ascii="Times New Roman" w:hAnsi="Times New Roman" w:eastAsia="楷体"/>
                <w:kern w:val="4"/>
                <w:sz w:val="24"/>
              </w:rPr>
            </w:pPr>
            <w:r>
              <w:rPr>
                <w:rFonts w:ascii="Times New Roman" w:hAnsi="Times New Roman" w:eastAsia="楷体"/>
                <w:kern w:val="4"/>
                <w:sz w:val="24"/>
              </w:rPr>
              <w:t>34.91</w:t>
            </w:r>
          </w:p>
        </w:tc>
        <w:tc>
          <w:tcPr>
            <w:tcW w:w="1275" w:type="dxa"/>
            <w:vAlign w:val="center"/>
          </w:tcPr>
          <w:p>
            <w:pPr>
              <w:spacing w:line="400" w:lineRule="exact"/>
              <w:ind w:firstLine="0" w:firstLineChars="0"/>
              <w:jc w:val="center"/>
              <w:rPr>
                <w:rFonts w:ascii="Times New Roman" w:hAnsi="Times New Roman" w:eastAsia="楷体"/>
                <w:kern w:val="4"/>
                <w:sz w:val="24"/>
              </w:rPr>
            </w:pPr>
            <w:r>
              <w:rPr>
                <w:rFonts w:ascii="Times New Roman" w:hAnsi="Times New Roman" w:eastAsia="楷体"/>
                <w:kern w:val="4"/>
                <w:sz w:val="24"/>
              </w:rPr>
              <w:t>一级</w:t>
            </w:r>
          </w:p>
        </w:tc>
        <w:tc>
          <w:tcPr>
            <w:tcW w:w="1700" w:type="dxa"/>
            <w:vAlign w:val="center"/>
          </w:tcPr>
          <w:p>
            <w:pPr>
              <w:spacing w:line="400" w:lineRule="exact"/>
              <w:ind w:firstLine="0" w:firstLineChars="0"/>
              <w:jc w:val="center"/>
              <w:rPr>
                <w:rFonts w:ascii="Times New Roman" w:hAnsi="Times New Roman" w:eastAsia="楷体"/>
                <w:kern w:val="4"/>
                <w:sz w:val="24"/>
              </w:rPr>
            </w:pPr>
            <w:r>
              <w:rPr>
                <w:rFonts w:ascii="Times New Roman" w:hAnsi="Times New Roman" w:eastAsia="楷体"/>
                <w:kern w:val="4"/>
                <w:sz w:val="24"/>
              </w:rPr>
              <w:t>续建</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749" w:type="dxa"/>
            <w:vAlign w:val="center"/>
          </w:tcPr>
          <w:p>
            <w:pPr>
              <w:spacing w:line="400" w:lineRule="exact"/>
              <w:ind w:firstLine="0" w:firstLineChars="0"/>
              <w:jc w:val="center"/>
              <w:rPr>
                <w:rFonts w:ascii="Times New Roman" w:hAnsi="Times New Roman" w:eastAsia="楷体"/>
                <w:kern w:val="4"/>
                <w:sz w:val="24"/>
              </w:rPr>
            </w:pPr>
            <w:r>
              <w:rPr>
                <w:rFonts w:ascii="Times New Roman" w:hAnsi="Times New Roman" w:eastAsia="楷体"/>
                <w:kern w:val="4"/>
                <w:sz w:val="24"/>
              </w:rPr>
              <w:t>4</w:t>
            </w:r>
          </w:p>
        </w:tc>
        <w:tc>
          <w:tcPr>
            <w:tcW w:w="1804" w:type="dxa"/>
            <w:vAlign w:val="center"/>
          </w:tcPr>
          <w:p>
            <w:pPr>
              <w:spacing w:line="400" w:lineRule="exact"/>
              <w:ind w:firstLine="0" w:firstLineChars="0"/>
              <w:jc w:val="center"/>
              <w:rPr>
                <w:rFonts w:ascii="Times New Roman" w:hAnsi="Times New Roman" w:eastAsia="楷体"/>
                <w:kern w:val="4"/>
                <w:sz w:val="24"/>
              </w:rPr>
            </w:pPr>
            <w:r>
              <w:rPr>
                <w:rFonts w:ascii="Times New Roman" w:hAnsi="Times New Roman" w:eastAsia="楷体"/>
                <w:kern w:val="4"/>
                <w:sz w:val="24"/>
              </w:rPr>
              <w:t>S246溧水北延</w:t>
            </w:r>
          </w:p>
        </w:tc>
        <w:tc>
          <w:tcPr>
            <w:tcW w:w="1275" w:type="dxa"/>
            <w:vAlign w:val="center"/>
          </w:tcPr>
          <w:p>
            <w:pPr>
              <w:spacing w:line="400" w:lineRule="exact"/>
              <w:ind w:firstLine="0" w:firstLineChars="0"/>
              <w:jc w:val="center"/>
              <w:rPr>
                <w:rFonts w:ascii="Times New Roman" w:hAnsi="Times New Roman" w:eastAsia="楷体"/>
                <w:kern w:val="4"/>
                <w:sz w:val="24"/>
              </w:rPr>
            </w:pPr>
            <w:r>
              <w:rPr>
                <w:rFonts w:ascii="Times New Roman" w:hAnsi="Times New Roman" w:eastAsia="楷体"/>
                <w:kern w:val="4"/>
                <w:sz w:val="24"/>
              </w:rPr>
              <w:t>开发区</w:t>
            </w:r>
          </w:p>
        </w:tc>
        <w:tc>
          <w:tcPr>
            <w:tcW w:w="1045" w:type="dxa"/>
            <w:vAlign w:val="center"/>
          </w:tcPr>
          <w:p>
            <w:pPr>
              <w:spacing w:line="400" w:lineRule="exact"/>
              <w:ind w:firstLine="0" w:firstLineChars="0"/>
              <w:jc w:val="center"/>
              <w:rPr>
                <w:rFonts w:ascii="Times New Roman" w:hAnsi="Times New Roman" w:eastAsia="楷体"/>
                <w:kern w:val="4"/>
                <w:sz w:val="24"/>
              </w:rPr>
            </w:pPr>
            <w:r>
              <w:rPr>
                <w:rFonts w:ascii="Times New Roman" w:hAnsi="Times New Roman" w:eastAsia="楷体"/>
                <w:kern w:val="4"/>
                <w:sz w:val="24"/>
              </w:rPr>
              <w:t>柘塘镇</w:t>
            </w:r>
          </w:p>
        </w:tc>
        <w:tc>
          <w:tcPr>
            <w:tcW w:w="1224" w:type="dxa"/>
            <w:vAlign w:val="center"/>
          </w:tcPr>
          <w:p>
            <w:pPr>
              <w:spacing w:line="400" w:lineRule="exact"/>
              <w:ind w:firstLine="0" w:firstLineChars="0"/>
              <w:jc w:val="center"/>
              <w:rPr>
                <w:rFonts w:ascii="Times New Roman" w:hAnsi="Times New Roman" w:eastAsia="楷体"/>
                <w:kern w:val="4"/>
                <w:sz w:val="24"/>
              </w:rPr>
            </w:pPr>
            <w:r>
              <w:rPr>
                <w:rFonts w:ascii="Times New Roman" w:hAnsi="Times New Roman" w:eastAsia="楷体"/>
                <w:kern w:val="4"/>
                <w:sz w:val="24"/>
              </w:rPr>
              <w:t>13.88</w:t>
            </w:r>
          </w:p>
        </w:tc>
        <w:tc>
          <w:tcPr>
            <w:tcW w:w="1275" w:type="dxa"/>
            <w:vAlign w:val="center"/>
          </w:tcPr>
          <w:p>
            <w:pPr>
              <w:spacing w:line="400" w:lineRule="exact"/>
              <w:ind w:firstLine="0" w:firstLineChars="0"/>
              <w:jc w:val="center"/>
              <w:rPr>
                <w:rFonts w:ascii="Times New Roman" w:hAnsi="Times New Roman" w:eastAsia="楷体"/>
                <w:kern w:val="4"/>
                <w:sz w:val="24"/>
              </w:rPr>
            </w:pPr>
            <w:r>
              <w:rPr>
                <w:rFonts w:ascii="Times New Roman" w:hAnsi="Times New Roman" w:eastAsia="楷体"/>
                <w:kern w:val="4"/>
                <w:sz w:val="24"/>
              </w:rPr>
              <w:t>一级</w:t>
            </w:r>
          </w:p>
        </w:tc>
        <w:tc>
          <w:tcPr>
            <w:tcW w:w="1700" w:type="dxa"/>
            <w:vAlign w:val="center"/>
          </w:tcPr>
          <w:p>
            <w:pPr>
              <w:spacing w:line="400" w:lineRule="exact"/>
              <w:ind w:firstLine="0" w:firstLineChars="0"/>
              <w:jc w:val="center"/>
              <w:rPr>
                <w:rFonts w:ascii="Times New Roman" w:hAnsi="Times New Roman" w:eastAsia="楷体"/>
                <w:kern w:val="4"/>
                <w:sz w:val="24"/>
              </w:rPr>
            </w:pPr>
            <w:r>
              <w:rPr>
                <w:rFonts w:ascii="Times New Roman" w:hAnsi="Times New Roman" w:eastAsia="楷体"/>
                <w:kern w:val="4"/>
                <w:sz w:val="24"/>
              </w:rPr>
              <w:t>续建</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749" w:type="dxa"/>
            <w:vAlign w:val="center"/>
          </w:tcPr>
          <w:p>
            <w:pPr>
              <w:spacing w:line="400" w:lineRule="exact"/>
              <w:ind w:firstLine="0" w:firstLineChars="0"/>
              <w:jc w:val="center"/>
              <w:rPr>
                <w:rFonts w:ascii="Times New Roman" w:hAnsi="Times New Roman" w:eastAsia="楷体"/>
                <w:kern w:val="4"/>
                <w:sz w:val="24"/>
              </w:rPr>
            </w:pPr>
            <w:r>
              <w:rPr>
                <w:rFonts w:hint="eastAsia" w:ascii="Times New Roman" w:hAnsi="Times New Roman" w:eastAsia="楷体"/>
                <w:kern w:val="4"/>
                <w:sz w:val="24"/>
              </w:rPr>
              <w:t>5</w:t>
            </w:r>
          </w:p>
        </w:tc>
        <w:tc>
          <w:tcPr>
            <w:tcW w:w="1804" w:type="dxa"/>
            <w:vAlign w:val="center"/>
          </w:tcPr>
          <w:p>
            <w:pPr>
              <w:spacing w:line="400" w:lineRule="exact"/>
              <w:ind w:firstLine="0" w:firstLineChars="0"/>
              <w:jc w:val="center"/>
              <w:rPr>
                <w:rFonts w:ascii="Times New Roman" w:hAnsi="Times New Roman" w:eastAsia="楷体"/>
                <w:kern w:val="4"/>
                <w:sz w:val="24"/>
              </w:rPr>
            </w:pPr>
            <w:r>
              <w:rPr>
                <w:rFonts w:hint="eastAsia" w:ascii="Times New Roman" w:hAnsi="Times New Roman" w:eastAsia="楷体"/>
                <w:kern w:val="4"/>
                <w:sz w:val="24"/>
              </w:rPr>
              <w:t>S446</w:t>
            </w:r>
          </w:p>
        </w:tc>
        <w:tc>
          <w:tcPr>
            <w:tcW w:w="1275" w:type="dxa"/>
            <w:vAlign w:val="center"/>
          </w:tcPr>
          <w:p>
            <w:pPr>
              <w:spacing w:line="400" w:lineRule="exact"/>
              <w:ind w:firstLine="0" w:firstLineChars="0"/>
              <w:jc w:val="center"/>
              <w:rPr>
                <w:rFonts w:ascii="Times New Roman" w:hAnsi="Times New Roman" w:eastAsia="楷体"/>
                <w:kern w:val="4"/>
                <w:sz w:val="24"/>
              </w:rPr>
            </w:pPr>
            <w:r>
              <w:rPr>
                <w:rFonts w:hint="eastAsia" w:ascii="Times New Roman" w:hAnsi="Times New Roman" w:eastAsia="楷体"/>
                <w:kern w:val="4"/>
                <w:sz w:val="24"/>
              </w:rPr>
              <w:t>白马</w:t>
            </w:r>
            <w:r>
              <w:rPr>
                <w:rFonts w:ascii="Times New Roman" w:hAnsi="Times New Roman" w:eastAsia="楷体"/>
                <w:kern w:val="4"/>
                <w:sz w:val="24"/>
              </w:rPr>
              <w:t>互通</w:t>
            </w:r>
          </w:p>
        </w:tc>
        <w:tc>
          <w:tcPr>
            <w:tcW w:w="1045" w:type="dxa"/>
            <w:vAlign w:val="center"/>
          </w:tcPr>
          <w:p>
            <w:pPr>
              <w:spacing w:line="400" w:lineRule="exact"/>
              <w:ind w:firstLine="0" w:firstLineChars="0"/>
              <w:jc w:val="center"/>
              <w:rPr>
                <w:rFonts w:ascii="Times New Roman" w:hAnsi="Times New Roman" w:eastAsia="楷体"/>
                <w:kern w:val="4"/>
                <w:sz w:val="24"/>
              </w:rPr>
            </w:pPr>
            <w:r>
              <w:rPr>
                <w:rFonts w:hint="eastAsia" w:ascii="Times New Roman" w:hAnsi="Times New Roman" w:eastAsia="楷体"/>
                <w:kern w:val="4"/>
                <w:sz w:val="24"/>
              </w:rPr>
              <w:t>S341</w:t>
            </w:r>
          </w:p>
        </w:tc>
        <w:tc>
          <w:tcPr>
            <w:tcW w:w="1224" w:type="dxa"/>
            <w:vAlign w:val="center"/>
          </w:tcPr>
          <w:p>
            <w:pPr>
              <w:spacing w:line="400" w:lineRule="exact"/>
              <w:ind w:firstLine="0" w:firstLineChars="0"/>
              <w:jc w:val="center"/>
              <w:rPr>
                <w:rFonts w:ascii="Times New Roman" w:hAnsi="Times New Roman" w:eastAsia="楷体"/>
                <w:kern w:val="4"/>
                <w:sz w:val="24"/>
              </w:rPr>
            </w:pPr>
            <w:r>
              <w:rPr>
                <w:rFonts w:hint="eastAsia" w:ascii="Times New Roman" w:hAnsi="Times New Roman" w:eastAsia="楷体"/>
                <w:kern w:val="4"/>
                <w:sz w:val="24"/>
              </w:rPr>
              <w:t>6</w:t>
            </w:r>
            <w:r>
              <w:rPr>
                <w:rFonts w:ascii="Times New Roman" w:hAnsi="Times New Roman" w:eastAsia="楷体"/>
                <w:kern w:val="4"/>
                <w:sz w:val="24"/>
              </w:rPr>
              <w:t>.00</w:t>
            </w:r>
          </w:p>
        </w:tc>
        <w:tc>
          <w:tcPr>
            <w:tcW w:w="1275" w:type="dxa"/>
            <w:vAlign w:val="center"/>
          </w:tcPr>
          <w:p>
            <w:pPr>
              <w:spacing w:line="400" w:lineRule="exact"/>
              <w:ind w:firstLine="0" w:firstLineChars="0"/>
              <w:jc w:val="center"/>
              <w:rPr>
                <w:rFonts w:ascii="Times New Roman" w:hAnsi="Times New Roman" w:eastAsia="楷体"/>
                <w:kern w:val="4"/>
                <w:sz w:val="24"/>
              </w:rPr>
            </w:pPr>
            <w:r>
              <w:rPr>
                <w:rFonts w:hint="eastAsia" w:ascii="Times New Roman" w:hAnsi="Times New Roman" w:eastAsia="楷体"/>
                <w:kern w:val="4"/>
                <w:sz w:val="24"/>
              </w:rPr>
              <w:t>一级</w:t>
            </w:r>
          </w:p>
        </w:tc>
        <w:tc>
          <w:tcPr>
            <w:tcW w:w="1700" w:type="dxa"/>
            <w:vAlign w:val="center"/>
          </w:tcPr>
          <w:p>
            <w:pPr>
              <w:spacing w:line="400" w:lineRule="exact"/>
              <w:ind w:firstLine="0" w:firstLineChars="0"/>
              <w:jc w:val="center"/>
              <w:rPr>
                <w:rFonts w:ascii="Times New Roman" w:hAnsi="Times New Roman" w:eastAsia="楷体"/>
                <w:kern w:val="4"/>
                <w:sz w:val="24"/>
              </w:rPr>
            </w:pPr>
            <w:r>
              <w:rPr>
                <w:rFonts w:hint="eastAsia" w:ascii="Times New Roman" w:hAnsi="Times New Roman" w:eastAsia="楷体"/>
                <w:kern w:val="4"/>
                <w:sz w:val="24"/>
              </w:rPr>
              <w:t>新建</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4873" w:type="dxa"/>
            <w:gridSpan w:val="4"/>
            <w:vAlign w:val="center"/>
          </w:tcPr>
          <w:p>
            <w:pPr>
              <w:spacing w:line="400" w:lineRule="exact"/>
              <w:ind w:firstLine="0" w:firstLineChars="0"/>
              <w:jc w:val="center"/>
              <w:rPr>
                <w:rFonts w:ascii="Times New Roman" w:hAnsi="Times New Roman" w:eastAsia="楷体"/>
                <w:kern w:val="4"/>
                <w:sz w:val="24"/>
              </w:rPr>
            </w:pPr>
            <w:r>
              <w:rPr>
                <w:rFonts w:hint="eastAsia" w:ascii="Times New Roman" w:hAnsi="Times New Roman" w:eastAsia="楷体"/>
                <w:kern w:val="4"/>
                <w:sz w:val="24"/>
              </w:rPr>
              <w:t>合计</w:t>
            </w:r>
          </w:p>
        </w:tc>
        <w:tc>
          <w:tcPr>
            <w:tcW w:w="1224" w:type="dxa"/>
            <w:vAlign w:val="center"/>
          </w:tcPr>
          <w:p>
            <w:pPr>
              <w:spacing w:line="400" w:lineRule="exact"/>
              <w:ind w:firstLine="0" w:firstLineChars="0"/>
              <w:jc w:val="center"/>
              <w:rPr>
                <w:rFonts w:ascii="Times New Roman" w:hAnsi="Times New Roman" w:eastAsia="楷体"/>
                <w:kern w:val="4"/>
                <w:sz w:val="24"/>
              </w:rPr>
            </w:pPr>
            <w:r>
              <w:rPr>
                <w:rFonts w:ascii="Times New Roman" w:hAnsi="Times New Roman" w:eastAsia="楷体"/>
                <w:kern w:val="4"/>
                <w:sz w:val="24"/>
              </w:rPr>
              <w:t>124.93</w:t>
            </w:r>
          </w:p>
        </w:tc>
        <w:tc>
          <w:tcPr>
            <w:tcW w:w="1275" w:type="dxa"/>
            <w:vAlign w:val="center"/>
          </w:tcPr>
          <w:p>
            <w:pPr>
              <w:spacing w:line="400" w:lineRule="exact"/>
              <w:ind w:firstLine="0" w:firstLineChars="0"/>
              <w:jc w:val="center"/>
              <w:rPr>
                <w:rFonts w:ascii="Times New Roman" w:hAnsi="Times New Roman" w:eastAsia="楷体"/>
                <w:kern w:val="4"/>
                <w:sz w:val="24"/>
              </w:rPr>
            </w:pPr>
          </w:p>
        </w:tc>
        <w:tc>
          <w:tcPr>
            <w:tcW w:w="1700" w:type="dxa"/>
            <w:vAlign w:val="center"/>
          </w:tcPr>
          <w:p>
            <w:pPr>
              <w:spacing w:line="400" w:lineRule="exact"/>
              <w:ind w:firstLine="0" w:firstLineChars="0"/>
              <w:jc w:val="center"/>
              <w:rPr>
                <w:rFonts w:ascii="Times New Roman" w:hAnsi="Times New Roman" w:eastAsia="楷体"/>
                <w:kern w:val="4"/>
                <w:sz w:val="24"/>
              </w:rPr>
            </w:pPr>
          </w:p>
        </w:tc>
      </w:tr>
    </w:tbl>
    <w:p>
      <w:pPr>
        <w:ind w:firstLine="602"/>
        <w:rPr>
          <w:rFonts w:ascii="Times New Roman" w:hAnsi="Times New Roman" w:eastAsia="仿宋_GB2312"/>
          <w:b/>
          <w:kern w:val="4"/>
          <w:sz w:val="30"/>
          <w:szCs w:val="30"/>
        </w:rPr>
      </w:pPr>
      <w:bookmarkStart w:id="37" w:name="_Toc280018306"/>
    </w:p>
    <w:p>
      <w:pPr>
        <w:ind w:firstLine="0" w:firstLineChars="0"/>
        <w:jc w:val="center"/>
        <w:rPr>
          <w:rFonts w:ascii="Times New Roman" w:hAnsi="Times New Roman" w:eastAsia="仿宋_GB2312"/>
          <w:b/>
          <w:kern w:val="4"/>
          <w:sz w:val="30"/>
          <w:szCs w:val="30"/>
        </w:rPr>
      </w:pPr>
      <w:r>
        <w:rPr>
          <w:rFonts w:ascii="Times New Roman" w:hAnsi="Times New Roman" w:eastAsia="仿宋_GB2312"/>
          <w:b/>
          <w:kern w:val="4"/>
          <w:sz w:val="30"/>
          <w:szCs w:val="30"/>
        </w:rPr>
        <w:drawing>
          <wp:inline distT="0" distB="0" distL="0" distR="0">
            <wp:extent cx="4188460" cy="471805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4190508" cy="4720956"/>
                    </a:xfrm>
                    <a:prstGeom prst="rect">
                      <a:avLst/>
                    </a:prstGeom>
                    <a:noFill/>
                  </pic:spPr>
                </pic:pic>
              </a:graphicData>
            </a:graphic>
          </wp:inline>
        </w:drawing>
      </w:r>
    </w:p>
    <w:p>
      <w:pPr>
        <w:snapToGrid w:val="0"/>
        <w:spacing w:line="480" w:lineRule="exact"/>
        <w:ind w:firstLine="0" w:firstLineChars="0"/>
        <w:jc w:val="center"/>
        <w:rPr>
          <w:rFonts w:ascii="Times New Roman" w:hAnsi="Times New Roman" w:eastAsia="黑体"/>
          <w:bCs/>
          <w:kern w:val="4"/>
          <w:sz w:val="24"/>
        </w:rPr>
      </w:pPr>
      <w:r>
        <w:rPr>
          <w:rFonts w:hint="eastAsia" w:ascii="Times New Roman" w:hAnsi="Times New Roman" w:eastAsia="黑体"/>
          <w:bCs/>
          <w:kern w:val="4"/>
          <w:sz w:val="24"/>
        </w:rPr>
        <w:t>图</w:t>
      </w:r>
      <w:r>
        <w:rPr>
          <w:rFonts w:ascii="Times New Roman" w:hAnsi="Times New Roman" w:eastAsia="黑体"/>
          <w:bCs/>
          <w:kern w:val="4"/>
          <w:sz w:val="24"/>
        </w:rPr>
        <w:t xml:space="preserve">4-1  </w:t>
      </w:r>
      <w:r>
        <w:rPr>
          <w:rFonts w:hint="eastAsia" w:ascii="Times New Roman" w:hAnsi="Times New Roman" w:eastAsia="黑体"/>
          <w:bCs/>
          <w:kern w:val="4"/>
          <w:sz w:val="24"/>
        </w:rPr>
        <w:t>溧水区普通国省干线规划布局图</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（3）路网连接公路</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继续加强连接经济开发区、一般产业园区、现代农业园区、风景旅游区、物流集聚区、特色产业园区、机场、火车站、主要港口作业区、高速公路互通等各类节点的路网连接公路建设，提高节点集疏运水平；加强省际、县际断头路建设，进一步完善路网结构，提高路网整体运行效率；提升区域统筹协调发展水平，服务农村居民生产生活出行。“十三五”期间，开工并建成连接公路</w:t>
      </w:r>
      <w:r>
        <w:rPr>
          <w:rFonts w:hint="eastAsia" w:ascii="Times New Roman" w:hAnsi="Times New Roman" w:eastAsia="仿宋_GB2312"/>
          <w:kern w:val="4"/>
          <w:sz w:val="30"/>
          <w:szCs w:val="30"/>
        </w:rPr>
        <w:t>18</w:t>
      </w:r>
      <w:r>
        <w:rPr>
          <w:rFonts w:ascii="Times New Roman" w:hAnsi="Times New Roman" w:eastAsia="仿宋_GB2312"/>
          <w:kern w:val="4"/>
          <w:sz w:val="30"/>
          <w:szCs w:val="30"/>
        </w:rPr>
        <w:t>条，共</w:t>
      </w:r>
      <w:r>
        <w:rPr>
          <w:rFonts w:hint="eastAsia" w:ascii="Times New Roman" w:hAnsi="Times New Roman" w:eastAsia="仿宋_GB2312"/>
          <w:kern w:val="4"/>
          <w:sz w:val="30"/>
          <w:szCs w:val="30"/>
        </w:rPr>
        <w:t>98</w:t>
      </w:r>
      <w:r>
        <w:rPr>
          <w:rFonts w:ascii="Times New Roman" w:hAnsi="Times New Roman" w:eastAsia="仿宋_GB2312"/>
          <w:kern w:val="4"/>
          <w:sz w:val="30"/>
          <w:szCs w:val="30"/>
        </w:rPr>
        <w:t>.21公里。其中一级公路</w:t>
      </w:r>
      <w:r>
        <w:rPr>
          <w:rFonts w:hint="eastAsia" w:ascii="Times New Roman" w:hAnsi="Times New Roman" w:eastAsia="仿宋_GB2312"/>
          <w:kern w:val="4"/>
          <w:sz w:val="30"/>
          <w:szCs w:val="30"/>
        </w:rPr>
        <w:t>48</w:t>
      </w:r>
      <w:r>
        <w:rPr>
          <w:rFonts w:ascii="Times New Roman" w:hAnsi="Times New Roman" w:eastAsia="仿宋_GB2312"/>
          <w:kern w:val="4"/>
          <w:sz w:val="30"/>
          <w:szCs w:val="30"/>
        </w:rPr>
        <w:t>.01公里，二级公路29.20公里，三级公路21.00公里。路网连接公路建设项目具体如下：</w:t>
      </w:r>
    </w:p>
    <w:p>
      <w:pPr>
        <w:spacing w:line="560" w:lineRule="exact"/>
        <w:ind w:firstLine="170" w:firstLineChars="71"/>
        <w:jc w:val="center"/>
        <w:rPr>
          <w:rFonts w:ascii="黑体" w:hAnsi="黑体" w:eastAsia="黑体"/>
          <w:bCs/>
          <w:kern w:val="4"/>
          <w:sz w:val="24"/>
        </w:rPr>
      </w:pPr>
      <w:r>
        <w:rPr>
          <w:rFonts w:hint="eastAsia" w:ascii="黑体" w:hAnsi="黑体" w:eastAsia="黑体"/>
          <w:bCs/>
          <w:kern w:val="4"/>
          <w:sz w:val="24"/>
        </w:rPr>
        <w:t>表4-2</w:t>
      </w:r>
      <w:r>
        <w:rPr>
          <w:rFonts w:ascii="黑体" w:hAnsi="黑体" w:eastAsia="黑体"/>
          <w:bCs/>
          <w:kern w:val="4"/>
          <w:sz w:val="24"/>
        </w:rPr>
        <w:t>“</w:t>
      </w:r>
      <w:r>
        <w:rPr>
          <w:rFonts w:hint="eastAsia" w:ascii="黑体" w:hAnsi="黑体" w:eastAsia="黑体"/>
          <w:bCs/>
          <w:kern w:val="4"/>
          <w:sz w:val="24"/>
        </w:rPr>
        <w:t>十三五</w:t>
      </w:r>
      <w:r>
        <w:rPr>
          <w:rFonts w:ascii="黑体" w:hAnsi="黑体" w:eastAsia="黑体"/>
          <w:bCs/>
          <w:kern w:val="4"/>
          <w:sz w:val="24"/>
        </w:rPr>
        <w:t>”</w:t>
      </w:r>
      <w:r>
        <w:rPr>
          <w:rFonts w:hint="eastAsia" w:ascii="黑体" w:hAnsi="黑体" w:eastAsia="黑体"/>
          <w:bCs/>
          <w:kern w:val="4"/>
          <w:sz w:val="24"/>
        </w:rPr>
        <w:t>期间溧水区路网连接公路建设项目一览表</w:t>
      </w:r>
    </w:p>
    <w:tbl>
      <w:tblPr>
        <w:tblStyle w:val="30"/>
        <w:tblW w:w="850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4"/>
        <w:gridCol w:w="3735"/>
        <w:gridCol w:w="1417"/>
        <w:gridCol w:w="1275"/>
        <w:gridCol w:w="1134"/>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944" w:type="dxa"/>
            <w:shd w:val="clear" w:color="auto" w:fill="auto"/>
            <w:noWrap/>
            <w:vAlign w:val="center"/>
          </w:tcPr>
          <w:p>
            <w:pPr>
              <w:widowControl/>
              <w:autoSpaceDE/>
              <w:autoSpaceDN/>
              <w:ind w:firstLine="0" w:firstLineChars="0"/>
              <w:jc w:val="center"/>
              <w:rPr>
                <w:rFonts w:ascii="Times New Roman" w:hAnsi="Times New Roman" w:eastAsia="楷体"/>
                <w:b/>
                <w:kern w:val="4"/>
                <w:sz w:val="21"/>
                <w:szCs w:val="21"/>
              </w:rPr>
            </w:pPr>
            <w:r>
              <w:rPr>
                <w:rFonts w:hint="eastAsia" w:ascii="Times New Roman" w:hAnsi="Times New Roman" w:eastAsia="楷体"/>
                <w:b/>
                <w:kern w:val="4"/>
                <w:sz w:val="21"/>
                <w:szCs w:val="21"/>
              </w:rPr>
              <w:t>序号</w:t>
            </w:r>
          </w:p>
        </w:tc>
        <w:tc>
          <w:tcPr>
            <w:tcW w:w="3735" w:type="dxa"/>
            <w:shd w:val="clear" w:color="auto" w:fill="auto"/>
            <w:noWrap/>
            <w:vAlign w:val="center"/>
          </w:tcPr>
          <w:p>
            <w:pPr>
              <w:widowControl/>
              <w:autoSpaceDE/>
              <w:autoSpaceDN/>
              <w:ind w:firstLine="0" w:firstLineChars="0"/>
              <w:jc w:val="center"/>
              <w:rPr>
                <w:rFonts w:ascii="Times New Roman" w:hAnsi="Times New Roman" w:eastAsia="楷体"/>
                <w:b/>
                <w:kern w:val="4"/>
                <w:sz w:val="21"/>
                <w:szCs w:val="21"/>
              </w:rPr>
            </w:pPr>
            <w:r>
              <w:rPr>
                <w:rFonts w:hint="eastAsia" w:ascii="Times New Roman" w:hAnsi="Times New Roman" w:eastAsia="楷体"/>
                <w:b/>
                <w:kern w:val="4"/>
                <w:sz w:val="21"/>
                <w:szCs w:val="21"/>
              </w:rPr>
              <w:t>名称</w:t>
            </w:r>
          </w:p>
        </w:tc>
        <w:tc>
          <w:tcPr>
            <w:tcW w:w="1417" w:type="dxa"/>
            <w:shd w:val="clear" w:color="auto" w:fill="auto"/>
            <w:noWrap/>
            <w:vAlign w:val="center"/>
          </w:tcPr>
          <w:p>
            <w:pPr>
              <w:widowControl/>
              <w:autoSpaceDE/>
              <w:autoSpaceDN/>
              <w:ind w:firstLine="0" w:firstLineChars="0"/>
              <w:jc w:val="center"/>
              <w:rPr>
                <w:rFonts w:ascii="Times New Roman" w:hAnsi="Times New Roman" w:eastAsia="楷体"/>
                <w:b/>
                <w:kern w:val="4"/>
                <w:sz w:val="21"/>
                <w:szCs w:val="21"/>
              </w:rPr>
            </w:pPr>
            <w:r>
              <w:rPr>
                <w:rFonts w:hint="eastAsia" w:ascii="Times New Roman" w:hAnsi="Times New Roman" w:eastAsia="楷体"/>
                <w:b/>
                <w:kern w:val="4"/>
                <w:sz w:val="21"/>
                <w:szCs w:val="21"/>
              </w:rPr>
              <w:t>里程（公里）</w:t>
            </w:r>
          </w:p>
        </w:tc>
        <w:tc>
          <w:tcPr>
            <w:tcW w:w="1275" w:type="dxa"/>
            <w:shd w:val="clear" w:color="auto" w:fill="auto"/>
            <w:noWrap/>
            <w:vAlign w:val="center"/>
          </w:tcPr>
          <w:p>
            <w:pPr>
              <w:widowControl/>
              <w:autoSpaceDE/>
              <w:autoSpaceDN/>
              <w:ind w:firstLine="0" w:firstLineChars="0"/>
              <w:jc w:val="center"/>
              <w:rPr>
                <w:rFonts w:ascii="Times New Roman" w:hAnsi="Times New Roman" w:eastAsia="楷体"/>
                <w:b/>
                <w:kern w:val="4"/>
                <w:sz w:val="21"/>
                <w:szCs w:val="21"/>
              </w:rPr>
            </w:pPr>
            <w:r>
              <w:rPr>
                <w:rFonts w:hint="eastAsia" w:ascii="Times New Roman" w:hAnsi="Times New Roman" w:eastAsia="楷体"/>
                <w:b/>
                <w:kern w:val="4"/>
                <w:sz w:val="21"/>
                <w:szCs w:val="21"/>
              </w:rPr>
              <w:t>等级</w:t>
            </w:r>
          </w:p>
        </w:tc>
        <w:tc>
          <w:tcPr>
            <w:tcW w:w="1134" w:type="dxa"/>
            <w:shd w:val="clear" w:color="auto" w:fill="auto"/>
            <w:noWrap/>
            <w:vAlign w:val="center"/>
          </w:tcPr>
          <w:p>
            <w:pPr>
              <w:widowControl/>
              <w:autoSpaceDE/>
              <w:autoSpaceDN/>
              <w:ind w:firstLine="0" w:firstLineChars="0"/>
              <w:jc w:val="center"/>
              <w:rPr>
                <w:rFonts w:ascii="Times New Roman" w:hAnsi="Times New Roman" w:eastAsia="楷体"/>
                <w:b/>
                <w:kern w:val="4"/>
                <w:sz w:val="21"/>
                <w:szCs w:val="21"/>
              </w:rPr>
            </w:pPr>
            <w:r>
              <w:rPr>
                <w:rFonts w:hint="eastAsia" w:ascii="Times New Roman" w:hAnsi="Times New Roman" w:eastAsia="楷体"/>
                <w:b/>
                <w:kern w:val="4"/>
                <w:sz w:val="21"/>
                <w:szCs w:val="21"/>
              </w:rPr>
              <w:t>类别</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w:t>
            </w:r>
          </w:p>
        </w:tc>
        <w:tc>
          <w:tcPr>
            <w:tcW w:w="3735" w:type="dxa"/>
            <w:shd w:val="clear" w:color="auto" w:fill="auto"/>
            <w:noWrap/>
            <w:vAlign w:val="center"/>
          </w:tcPr>
          <w:p>
            <w:pPr>
              <w:widowControl/>
              <w:autoSpaceDE/>
              <w:autoSpaceDN/>
              <w:ind w:firstLine="0" w:firstLineChars="0"/>
              <w:jc w:val="left"/>
              <w:rPr>
                <w:rFonts w:ascii="Times New Roman" w:hAnsi="Times New Roman" w:eastAsia="楷体"/>
                <w:kern w:val="4"/>
                <w:sz w:val="21"/>
                <w:szCs w:val="21"/>
              </w:rPr>
            </w:pPr>
            <w:r>
              <w:rPr>
                <w:rFonts w:ascii="Times New Roman" w:hAnsi="Times New Roman" w:eastAsia="楷体"/>
                <w:kern w:val="4"/>
                <w:sz w:val="21"/>
                <w:szCs w:val="21"/>
              </w:rPr>
              <w:t>S55至G25高速互通连接公路</w:t>
            </w:r>
          </w:p>
        </w:tc>
        <w:tc>
          <w:tcPr>
            <w:tcW w:w="1417"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 xml:space="preserve">5.70 </w:t>
            </w:r>
          </w:p>
        </w:tc>
        <w:tc>
          <w:tcPr>
            <w:tcW w:w="1275"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一级</w:t>
            </w:r>
          </w:p>
        </w:tc>
        <w:tc>
          <w:tcPr>
            <w:tcW w:w="1134"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重要</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2</w:t>
            </w:r>
          </w:p>
        </w:tc>
        <w:tc>
          <w:tcPr>
            <w:tcW w:w="3735" w:type="dxa"/>
            <w:shd w:val="clear" w:color="auto" w:fill="auto"/>
            <w:noWrap/>
            <w:vAlign w:val="center"/>
          </w:tcPr>
          <w:p>
            <w:pPr>
              <w:widowControl/>
              <w:autoSpaceDE/>
              <w:autoSpaceDN/>
              <w:ind w:firstLine="0" w:firstLineChars="0"/>
              <w:jc w:val="left"/>
              <w:rPr>
                <w:rFonts w:ascii="Times New Roman" w:hAnsi="Times New Roman" w:eastAsia="楷体"/>
                <w:kern w:val="4"/>
                <w:sz w:val="21"/>
                <w:szCs w:val="21"/>
              </w:rPr>
            </w:pPr>
            <w:r>
              <w:rPr>
                <w:rFonts w:ascii="Times New Roman" w:hAnsi="Times New Roman" w:eastAsia="楷体"/>
                <w:kern w:val="4"/>
                <w:sz w:val="21"/>
                <w:szCs w:val="21"/>
              </w:rPr>
              <w:t>S246至宁杭高铁站连接公路</w:t>
            </w:r>
          </w:p>
        </w:tc>
        <w:tc>
          <w:tcPr>
            <w:tcW w:w="1417"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 xml:space="preserve">4.70 </w:t>
            </w:r>
          </w:p>
        </w:tc>
        <w:tc>
          <w:tcPr>
            <w:tcW w:w="1275"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一级</w:t>
            </w:r>
          </w:p>
        </w:tc>
        <w:tc>
          <w:tcPr>
            <w:tcW w:w="1134"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重要</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3</w:t>
            </w:r>
          </w:p>
        </w:tc>
        <w:tc>
          <w:tcPr>
            <w:tcW w:w="3735" w:type="dxa"/>
            <w:shd w:val="clear" w:color="auto" w:fill="auto"/>
            <w:noWrap/>
            <w:vAlign w:val="center"/>
          </w:tcPr>
          <w:p>
            <w:pPr>
              <w:widowControl/>
              <w:autoSpaceDE/>
              <w:autoSpaceDN/>
              <w:ind w:firstLine="0" w:firstLineChars="0"/>
              <w:jc w:val="left"/>
              <w:rPr>
                <w:rFonts w:ascii="Times New Roman" w:hAnsi="Times New Roman" w:eastAsia="楷体"/>
                <w:kern w:val="4"/>
                <w:sz w:val="21"/>
                <w:szCs w:val="21"/>
              </w:rPr>
            </w:pPr>
            <w:r>
              <w:rPr>
                <w:rFonts w:ascii="Times New Roman" w:hAnsi="Times New Roman" w:eastAsia="楷体"/>
                <w:kern w:val="4"/>
                <w:sz w:val="21"/>
                <w:szCs w:val="21"/>
              </w:rPr>
              <w:t>S123至S246连接公路</w:t>
            </w:r>
          </w:p>
        </w:tc>
        <w:tc>
          <w:tcPr>
            <w:tcW w:w="1417"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 xml:space="preserve">6.36 </w:t>
            </w:r>
          </w:p>
        </w:tc>
        <w:tc>
          <w:tcPr>
            <w:tcW w:w="1275"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一级</w:t>
            </w:r>
          </w:p>
        </w:tc>
        <w:tc>
          <w:tcPr>
            <w:tcW w:w="1134"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重要</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4</w:t>
            </w:r>
          </w:p>
        </w:tc>
        <w:tc>
          <w:tcPr>
            <w:tcW w:w="3735" w:type="dxa"/>
            <w:shd w:val="clear" w:color="auto" w:fill="auto"/>
            <w:noWrap/>
            <w:vAlign w:val="center"/>
          </w:tcPr>
          <w:p>
            <w:pPr>
              <w:widowControl/>
              <w:autoSpaceDE/>
              <w:autoSpaceDN/>
              <w:ind w:firstLine="0" w:firstLineChars="0"/>
              <w:jc w:val="left"/>
              <w:rPr>
                <w:rFonts w:ascii="Times New Roman" w:hAnsi="Times New Roman" w:eastAsia="楷体"/>
                <w:kern w:val="4"/>
                <w:sz w:val="21"/>
                <w:szCs w:val="21"/>
              </w:rPr>
            </w:pPr>
            <w:r>
              <w:rPr>
                <w:rFonts w:hint="eastAsia" w:ascii="Times New Roman" w:hAnsi="Times New Roman" w:eastAsia="楷体"/>
                <w:kern w:val="4"/>
                <w:sz w:val="21"/>
                <w:szCs w:val="21"/>
              </w:rPr>
              <w:t>老S</w:t>
            </w:r>
            <w:r>
              <w:rPr>
                <w:rFonts w:ascii="Times New Roman" w:hAnsi="Times New Roman" w:eastAsia="楷体"/>
                <w:kern w:val="4"/>
                <w:sz w:val="21"/>
                <w:szCs w:val="21"/>
              </w:rPr>
              <w:t>340至沿江高速连接线</w:t>
            </w:r>
          </w:p>
        </w:tc>
        <w:tc>
          <w:tcPr>
            <w:tcW w:w="1417"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 xml:space="preserve">2.06 </w:t>
            </w:r>
          </w:p>
        </w:tc>
        <w:tc>
          <w:tcPr>
            <w:tcW w:w="1275"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一级</w:t>
            </w:r>
          </w:p>
        </w:tc>
        <w:tc>
          <w:tcPr>
            <w:tcW w:w="1134"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重要</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5</w:t>
            </w:r>
          </w:p>
        </w:tc>
        <w:tc>
          <w:tcPr>
            <w:tcW w:w="3735" w:type="dxa"/>
            <w:shd w:val="clear" w:color="auto" w:fill="auto"/>
            <w:noWrap/>
            <w:vAlign w:val="center"/>
          </w:tcPr>
          <w:p>
            <w:pPr>
              <w:widowControl/>
              <w:autoSpaceDE/>
              <w:autoSpaceDN/>
              <w:ind w:firstLine="0" w:firstLineChars="0"/>
              <w:jc w:val="left"/>
              <w:rPr>
                <w:rFonts w:ascii="Times New Roman" w:hAnsi="Times New Roman" w:eastAsia="楷体"/>
                <w:kern w:val="4"/>
                <w:sz w:val="21"/>
                <w:szCs w:val="21"/>
              </w:rPr>
            </w:pPr>
            <w:r>
              <w:rPr>
                <w:rFonts w:hint="eastAsia" w:ascii="Times New Roman" w:hAnsi="Times New Roman" w:eastAsia="楷体"/>
                <w:kern w:val="4"/>
                <w:sz w:val="21"/>
                <w:szCs w:val="21"/>
              </w:rPr>
              <w:t>S</w:t>
            </w:r>
            <w:r>
              <w:rPr>
                <w:rFonts w:ascii="Times New Roman" w:hAnsi="Times New Roman" w:eastAsia="楷体"/>
                <w:kern w:val="4"/>
                <w:sz w:val="21"/>
                <w:szCs w:val="21"/>
              </w:rPr>
              <w:t>246至沿江高速连接线</w:t>
            </w:r>
          </w:p>
        </w:tc>
        <w:tc>
          <w:tcPr>
            <w:tcW w:w="1417"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 xml:space="preserve">3.50 </w:t>
            </w:r>
          </w:p>
        </w:tc>
        <w:tc>
          <w:tcPr>
            <w:tcW w:w="1275"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一级</w:t>
            </w:r>
          </w:p>
        </w:tc>
        <w:tc>
          <w:tcPr>
            <w:tcW w:w="1134"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重要</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6</w:t>
            </w:r>
          </w:p>
        </w:tc>
        <w:tc>
          <w:tcPr>
            <w:tcW w:w="3735" w:type="dxa"/>
            <w:shd w:val="clear" w:color="auto" w:fill="auto"/>
            <w:noWrap/>
            <w:vAlign w:val="center"/>
          </w:tcPr>
          <w:p>
            <w:pPr>
              <w:widowControl/>
              <w:autoSpaceDE/>
              <w:autoSpaceDN/>
              <w:ind w:firstLine="0" w:firstLineChars="0"/>
              <w:jc w:val="left"/>
              <w:rPr>
                <w:rFonts w:ascii="Times New Roman" w:hAnsi="Times New Roman" w:eastAsia="楷体"/>
                <w:kern w:val="4"/>
                <w:sz w:val="21"/>
                <w:szCs w:val="21"/>
              </w:rPr>
            </w:pPr>
            <w:r>
              <w:rPr>
                <w:rFonts w:hint="eastAsia" w:ascii="Times New Roman" w:hAnsi="Times New Roman" w:eastAsia="楷体"/>
                <w:kern w:val="4"/>
                <w:sz w:val="21"/>
                <w:szCs w:val="21"/>
              </w:rPr>
              <w:t>宁杭高速至宁杭高铁</w:t>
            </w:r>
          </w:p>
          <w:p>
            <w:pPr>
              <w:widowControl/>
              <w:autoSpaceDE/>
              <w:autoSpaceDN/>
              <w:ind w:firstLine="0" w:firstLineChars="0"/>
              <w:jc w:val="left"/>
              <w:rPr>
                <w:rFonts w:ascii="Times New Roman" w:hAnsi="Times New Roman" w:eastAsia="楷体"/>
                <w:kern w:val="4"/>
                <w:sz w:val="21"/>
                <w:szCs w:val="21"/>
              </w:rPr>
            </w:pPr>
            <w:r>
              <w:rPr>
                <w:rFonts w:hint="eastAsia" w:ascii="Times New Roman" w:hAnsi="Times New Roman" w:eastAsia="楷体"/>
                <w:kern w:val="4"/>
                <w:sz w:val="21"/>
                <w:szCs w:val="21"/>
              </w:rPr>
              <w:t>（S</w:t>
            </w:r>
            <w:r>
              <w:rPr>
                <w:rFonts w:ascii="Times New Roman" w:hAnsi="Times New Roman" w:eastAsia="楷体"/>
                <w:kern w:val="4"/>
                <w:sz w:val="21"/>
                <w:szCs w:val="21"/>
              </w:rPr>
              <w:t>340交通路段）</w:t>
            </w:r>
          </w:p>
        </w:tc>
        <w:tc>
          <w:tcPr>
            <w:tcW w:w="1417"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 xml:space="preserve">2.60 </w:t>
            </w:r>
          </w:p>
        </w:tc>
        <w:tc>
          <w:tcPr>
            <w:tcW w:w="1275"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一级</w:t>
            </w:r>
          </w:p>
        </w:tc>
        <w:tc>
          <w:tcPr>
            <w:tcW w:w="1134"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重要</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7</w:t>
            </w:r>
          </w:p>
        </w:tc>
        <w:tc>
          <w:tcPr>
            <w:tcW w:w="3735" w:type="dxa"/>
            <w:shd w:val="clear" w:color="auto" w:fill="auto"/>
            <w:noWrap/>
            <w:vAlign w:val="center"/>
          </w:tcPr>
          <w:p>
            <w:pPr>
              <w:widowControl/>
              <w:autoSpaceDE/>
              <w:autoSpaceDN/>
              <w:ind w:firstLine="0" w:firstLineChars="0"/>
              <w:jc w:val="left"/>
              <w:rPr>
                <w:rFonts w:ascii="Times New Roman" w:hAnsi="Times New Roman" w:eastAsia="楷体"/>
                <w:kern w:val="4"/>
                <w:sz w:val="21"/>
                <w:szCs w:val="21"/>
              </w:rPr>
            </w:pPr>
            <w:r>
              <w:rPr>
                <w:rFonts w:hint="eastAsia" w:ascii="Times New Roman" w:hAnsi="Times New Roman" w:eastAsia="楷体"/>
                <w:kern w:val="4"/>
                <w:sz w:val="21"/>
                <w:szCs w:val="21"/>
              </w:rPr>
              <w:t>老</w:t>
            </w:r>
            <w:r>
              <w:rPr>
                <w:rFonts w:ascii="Times New Roman" w:hAnsi="Times New Roman" w:eastAsia="楷体"/>
                <w:kern w:val="4"/>
                <w:sz w:val="21"/>
                <w:szCs w:val="21"/>
              </w:rPr>
              <w:t>S340至</w:t>
            </w:r>
            <w:r>
              <w:rPr>
                <w:rFonts w:hint="eastAsia" w:ascii="Times New Roman" w:hAnsi="Times New Roman" w:eastAsia="楷体"/>
                <w:kern w:val="4"/>
                <w:sz w:val="21"/>
                <w:szCs w:val="21"/>
              </w:rPr>
              <w:t>S</w:t>
            </w:r>
            <w:r>
              <w:rPr>
                <w:rFonts w:ascii="Times New Roman" w:hAnsi="Times New Roman" w:eastAsia="楷体"/>
                <w:kern w:val="4"/>
                <w:sz w:val="21"/>
                <w:szCs w:val="21"/>
              </w:rPr>
              <w:t>246连接道路</w:t>
            </w:r>
          </w:p>
        </w:tc>
        <w:tc>
          <w:tcPr>
            <w:tcW w:w="1417"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 xml:space="preserve">8.09 </w:t>
            </w:r>
          </w:p>
        </w:tc>
        <w:tc>
          <w:tcPr>
            <w:tcW w:w="1275"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一级</w:t>
            </w:r>
          </w:p>
        </w:tc>
        <w:tc>
          <w:tcPr>
            <w:tcW w:w="1134"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重要</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8</w:t>
            </w:r>
          </w:p>
        </w:tc>
        <w:tc>
          <w:tcPr>
            <w:tcW w:w="3735" w:type="dxa"/>
            <w:shd w:val="clear" w:color="auto" w:fill="auto"/>
            <w:noWrap/>
            <w:vAlign w:val="center"/>
          </w:tcPr>
          <w:p>
            <w:pPr>
              <w:widowControl/>
              <w:autoSpaceDE/>
              <w:autoSpaceDN/>
              <w:ind w:firstLine="0" w:firstLineChars="0"/>
              <w:jc w:val="left"/>
              <w:rPr>
                <w:rFonts w:ascii="Times New Roman" w:hAnsi="Times New Roman" w:eastAsia="楷体"/>
                <w:kern w:val="4"/>
                <w:sz w:val="21"/>
                <w:szCs w:val="21"/>
              </w:rPr>
            </w:pPr>
            <w:r>
              <w:rPr>
                <w:rFonts w:hint="eastAsia" w:ascii="Times New Roman" w:hAnsi="Times New Roman" w:eastAsia="楷体"/>
                <w:kern w:val="4"/>
                <w:sz w:val="21"/>
                <w:szCs w:val="21"/>
              </w:rPr>
              <w:t>宁杭高铁站至东屏镇连接道路</w:t>
            </w:r>
          </w:p>
        </w:tc>
        <w:tc>
          <w:tcPr>
            <w:tcW w:w="1417"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 xml:space="preserve">6.00 </w:t>
            </w:r>
          </w:p>
        </w:tc>
        <w:tc>
          <w:tcPr>
            <w:tcW w:w="1275"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一级</w:t>
            </w:r>
          </w:p>
        </w:tc>
        <w:tc>
          <w:tcPr>
            <w:tcW w:w="1134"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重要</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9</w:t>
            </w:r>
          </w:p>
        </w:tc>
        <w:tc>
          <w:tcPr>
            <w:tcW w:w="3735" w:type="dxa"/>
            <w:shd w:val="clear" w:color="auto" w:fill="auto"/>
            <w:noWrap/>
            <w:vAlign w:val="center"/>
          </w:tcPr>
          <w:p>
            <w:pPr>
              <w:widowControl/>
              <w:autoSpaceDE/>
              <w:autoSpaceDN/>
              <w:ind w:firstLine="0" w:firstLineChars="0"/>
              <w:jc w:val="left"/>
              <w:rPr>
                <w:rFonts w:ascii="Times New Roman" w:hAnsi="Times New Roman" w:eastAsia="楷体"/>
                <w:kern w:val="4"/>
                <w:sz w:val="21"/>
                <w:szCs w:val="21"/>
              </w:rPr>
            </w:pPr>
            <w:r>
              <w:rPr>
                <w:rFonts w:hint="eastAsia" w:ascii="Times New Roman" w:hAnsi="Times New Roman" w:eastAsia="楷体"/>
                <w:kern w:val="4"/>
                <w:sz w:val="21"/>
                <w:szCs w:val="21"/>
              </w:rPr>
              <w:t>杨祥白鹿至</w:t>
            </w:r>
            <w:r>
              <w:rPr>
                <w:rFonts w:ascii="Times New Roman" w:hAnsi="Times New Roman" w:eastAsia="楷体"/>
                <w:kern w:val="4"/>
                <w:sz w:val="21"/>
                <w:szCs w:val="21"/>
              </w:rPr>
              <w:t>S340连接道路</w:t>
            </w:r>
          </w:p>
        </w:tc>
        <w:tc>
          <w:tcPr>
            <w:tcW w:w="1417"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 xml:space="preserve">9.00 </w:t>
            </w:r>
          </w:p>
        </w:tc>
        <w:tc>
          <w:tcPr>
            <w:tcW w:w="1275"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一级</w:t>
            </w:r>
          </w:p>
        </w:tc>
        <w:tc>
          <w:tcPr>
            <w:tcW w:w="1134"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重要</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10</w:t>
            </w:r>
          </w:p>
        </w:tc>
        <w:tc>
          <w:tcPr>
            <w:tcW w:w="3735" w:type="dxa"/>
            <w:shd w:val="clear" w:color="auto" w:fill="auto"/>
            <w:noWrap/>
            <w:vAlign w:val="center"/>
          </w:tcPr>
          <w:p>
            <w:pPr>
              <w:widowControl/>
              <w:autoSpaceDE/>
              <w:autoSpaceDN/>
              <w:ind w:firstLine="0" w:firstLineChars="0"/>
              <w:jc w:val="left"/>
              <w:rPr>
                <w:rFonts w:ascii="Times New Roman" w:hAnsi="Times New Roman" w:eastAsia="楷体"/>
                <w:kern w:val="4"/>
                <w:sz w:val="21"/>
                <w:szCs w:val="21"/>
              </w:rPr>
            </w:pPr>
            <w:r>
              <w:rPr>
                <w:rFonts w:hint="eastAsia" w:ascii="Times New Roman" w:hAnsi="Times New Roman" w:eastAsia="楷体"/>
                <w:kern w:val="4"/>
                <w:sz w:val="21"/>
                <w:szCs w:val="21"/>
              </w:rPr>
              <w:t>沙塘庵互通至上沛连接公路</w:t>
            </w:r>
          </w:p>
        </w:tc>
        <w:tc>
          <w:tcPr>
            <w:tcW w:w="1417"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 xml:space="preserve">15.40 </w:t>
            </w:r>
          </w:p>
        </w:tc>
        <w:tc>
          <w:tcPr>
            <w:tcW w:w="1275"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二级</w:t>
            </w:r>
          </w:p>
        </w:tc>
        <w:tc>
          <w:tcPr>
            <w:tcW w:w="1134"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一般</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11</w:t>
            </w:r>
          </w:p>
        </w:tc>
        <w:tc>
          <w:tcPr>
            <w:tcW w:w="3735" w:type="dxa"/>
            <w:shd w:val="clear" w:color="auto" w:fill="auto"/>
            <w:noWrap/>
            <w:vAlign w:val="center"/>
          </w:tcPr>
          <w:p>
            <w:pPr>
              <w:widowControl/>
              <w:autoSpaceDE/>
              <w:autoSpaceDN/>
              <w:ind w:firstLine="0" w:firstLineChars="0"/>
              <w:jc w:val="left"/>
              <w:rPr>
                <w:rFonts w:ascii="Times New Roman" w:hAnsi="Times New Roman" w:eastAsia="楷体"/>
                <w:kern w:val="4"/>
                <w:sz w:val="21"/>
                <w:szCs w:val="21"/>
              </w:rPr>
            </w:pPr>
            <w:r>
              <w:rPr>
                <w:rFonts w:hint="eastAsia" w:ascii="Times New Roman" w:hAnsi="Times New Roman" w:eastAsia="楷体"/>
                <w:kern w:val="4"/>
                <w:sz w:val="21"/>
                <w:szCs w:val="21"/>
              </w:rPr>
              <w:t>傅家边至</w:t>
            </w:r>
            <w:r>
              <w:rPr>
                <w:rFonts w:ascii="Times New Roman" w:hAnsi="Times New Roman" w:eastAsia="楷体"/>
                <w:kern w:val="4"/>
                <w:sz w:val="21"/>
                <w:szCs w:val="21"/>
              </w:rPr>
              <w:t>S341连接公路</w:t>
            </w:r>
          </w:p>
        </w:tc>
        <w:tc>
          <w:tcPr>
            <w:tcW w:w="1417"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 xml:space="preserve">3.50 </w:t>
            </w:r>
          </w:p>
        </w:tc>
        <w:tc>
          <w:tcPr>
            <w:tcW w:w="1275"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三级</w:t>
            </w:r>
          </w:p>
        </w:tc>
        <w:tc>
          <w:tcPr>
            <w:tcW w:w="1134"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一般</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12</w:t>
            </w:r>
          </w:p>
        </w:tc>
        <w:tc>
          <w:tcPr>
            <w:tcW w:w="3735" w:type="dxa"/>
            <w:shd w:val="clear" w:color="auto" w:fill="auto"/>
            <w:noWrap/>
            <w:vAlign w:val="center"/>
          </w:tcPr>
          <w:p>
            <w:pPr>
              <w:widowControl/>
              <w:autoSpaceDE/>
              <w:autoSpaceDN/>
              <w:ind w:firstLine="0" w:firstLineChars="0"/>
              <w:jc w:val="left"/>
              <w:rPr>
                <w:rFonts w:ascii="Times New Roman" w:hAnsi="Times New Roman" w:eastAsia="楷体"/>
                <w:kern w:val="4"/>
                <w:sz w:val="21"/>
                <w:szCs w:val="21"/>
              </w:rPr>
            </w:pPr>
            <w:r>
              <w:rPr>
                <w:rFonts w:hint="eastAsia" w:ascii="Times New Roman" w:hAnsi="Times New Roman" w:eastAsia="楷体"/>
                <w:kern w:val="4"/>
                <w:sz w:val="21"/>
                <w:szCs w:val="21"/>
              </w:rPr>
              <w:t>朱家边至G</w:t>
            </w:r>
            <w:r>
              <w:rPr>
                <w:rFonts w:ascii="Times New Roman" w:hAnsi="Times New Roman" w:eastAsia="楷体"/>
                <w:kern w:val="4"/>
                <w:sz w:val="21"/>
                <w:szCs w:val="21"/>
              </w:rPr>
              <w:t>104市际连接公路</w:t>
            </w:r>
          </w:p>
        </w:tc>
        <w:tc>
          <w:tcPr>
            <w:tcW w:w="1417"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 xml:space="preserve">4.80 </w:t>
            </w:r>
          </w:p>
        </w:tc>
        <w:tc>
          <w:tcPr>
            <w:tcW w:w="1275"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三级</w:t>
            </w:r>
          </w:p>
        </w:tc>
        <w:tc>
          <w:tcPr>
            <w:tcW w:w="1134"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一般</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13</w:t>
            </w:r>
          </w:p>
        </w:tc>
        <w:tc>
          <w:tcPr>
            <w:tcW w:w="3735" w:type="dxa"/>
            <w:shd w:val="clear" w:color="auto" w:fill="auto"/>
            <w:noWrap/>
            <w:vAlign w:val="center"/>
          </w:tcPr>
          <w:p>
            <w:pPr>
              <w:widowControl/>
              <w:autoSpaceDE/>
              <w:autoSpaceDN/>
              <w:ind w:firstLine="0" w:firstLineChars="0"/>
              <w:jc w:val="left"/>
              <w:rPr>
                <w:rFonts w:ascii="Times New Roman" w:hAnsi="Times New Roman" w:eastAsia="楷体"/>
                <w:kern w:val="4"/>
                <w:sz w:val="21"/>
                <w:szCs w:val="21"/>
              </w:rPr>
            </w:pPr>
            <w:r>
              <w:rPr>
                <w:rFonts w:ascii="Times New Roman" w:hAnsi="Times New Roman" w:eastAsia="楷体"/>
                <w:kern w:val="4"/>
                <w:sz w:val="21"/>
                <w:szCs w:val="21"/>
              </w:rPr>
              <w:t>S243至西横山连接公路</w:t>
            </w:r>
          </w:p>
        </w:tc>
        <w:tc>
          <w:tcPr>
            <w:tcW w:w="1417"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 xml:space="preserve">3.50 </w:t>
            </w:r>
          </w:p>
        </w:tc>
        <w:tc>
          <w:tcPr>
            <w:tcW w:w="1275"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二级</w:t>
            </w:r>
          </w:p>
        </w:tc>
        <w:tc>
          <w:tcPr>
            <w:tcW w:w="1134"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一般</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14</w:t>
            </w:r>
          </w:p>
        </w:tc>
        <w:tc>
          <w:tcPr>
            <w:tcW w:w="3735" w:type="dxa"/>
            <w:shd w:val="clear" w:color="auto" w:fill="auto"/>
            <w:noWrap/>
            <w:vAlign w:val="center"/>
          </w:tcPr>
          <w:p>
            <w:pPr>
              <w:widowControl/>
              <w:autoSpaceDE/>
              <w:autoSpaceDN/>
              <w:ind w:firstLine="0" w:firstLineChars="0"/>
              <w:jc w:val="left"/>
              <w:rPr>
                <w:rFonts w:ascii="Times New Roman" w:hAnsi="Times New Roman" w:eastAsia="楷体"/>
                <w:kern w:val="4"/>
                <w:sz w:val="21"/>
                <w:szCs w:val="21"/>
              </w:rPr>
            </w:pPr>
            <w:r>
              <w:rPr>
                <w:rFonts w:ascii="Times New Roman" w:hAnsi="Times New Roman" w:eastAsia="楷体"/>
                <w:kern w:val="4"/>
                <w:sz w:val="21"/>
                <w:szCs w:val="21"/>
              </w:rPr>
              <w:t>S246至石山下苗木基地连接公路</w:t>
            </w:r>
          </w:p>
        </w:tc>
        <w:tc>
          <w:tcPr>
            <w:tcW w:w="1417"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 xml:space="preserve">3.30 </w:t>
            </w:r>
          </w:p>
        </w:tc>
        <w:tc>
          <w:tcPr>
            <w:tcW w:w="1275"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三级</w:t>
            </w:r>
          </w:p>
        </w:tc>
        <w:tc>
          <w:tcPr>
            <w:tcW w:w="1134"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一般</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15</w:t>
            </w:r>
          </w:p>
        </w:tc>
        <w:tc>
          <w:tcPr>
            <w:tcW w:w="3735" w:type="dxa"/>
            <w:shd w:val="clear" w:color="auto" w:fill="auto"/>
            <w:noWrap/>
            <w:vAlign w:val="center"/>
          </w:tcPr>
          <w:p>
            <w:pPr>
              <w:widowControl/>
              <w:autoSpaceDE/>
              <w:autoSpaceDN/>
              <w:ind w:firstLine="0" w:firstLineChars="0"/>
              <w:jc w:val="left"/>
              <w:rPr>
                <w:rFonts w:ascii="Times New Roman" w:hAnsi="Times New Roman" w:eastAsia="楷体"/>
                <w:kern w:val="4"/>
                <w:sz w:val="21"/>
                <w:szCs w:val="21"/>
              </w:rPr>
            </w:pPr>
            <w:r>
              <w:rPr>
                <w:rFonts w:hint="eastAsia" w:ascii="Times New Roman" w:hAnsi="Times New Roman" w:eastAsia="楷体"/>
                <w:kern w:val="4"/>
                <w:sz w:val="21"/>
                <w:szCs w:val="21"/>
              </w:rPr>
              <w:t>丽山农场连接公路</w:t>
            </w:r>
          </w:p>
        </w:tc>
        <w:tc>
          <w:tcPr>
            <w:tcW w:w="1417"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 xml:space="preserve">1.20 </w:t>
            </w:r>
          </w:p>
        </w:tc>
        <w:tc>
          <w:tcPr>
            <w:tcW w:w="1275"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三级</w:t>
            </w:r>
          </w:p>
        </w:tc>
        <w:tc>
          <w:tcPr>
            <w:tcW w:w="1134"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一般</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16</w:t>
            </w:r>
          </w:p>
        </w:tc>
        <w:tc>
          <w:tcPr>
            <w:tcW w:w="3735" w:type="dxa"/>
            <w:shd w:val="clear" w:color="auto" w:fill="auto"/>
            <w:noWrap/>
            <w:vAlign w:val="center"/>
          </w:tcPr>
          <w:p>
            <w:pPr>
              <w:widowControl/>
              <w:autoSpaceDE/>
              <w:autoSpaceDN/>
              <w:ind w:firstLine="0" w:firstLineChars="0"/>
              <w:jc w:val="left"/>
              <w:rPr>
                <w:rFonts w:ascii="Times New Roman" w:hAnsi="Times New Roman" w:eastAsia="楷体"/>
                <w:kern w:val="4"/>
                <w:sz w:val="21"/>
                <w:szCs w:val="21"/>
              </w:rPr>
            </w:pPr>
            <w:r>
              <w:rPr>
                <w:rFonts w:hint="eastAsia" w:ascii="Times New Roman" w:hAnsi="Times New Roman" w:eastAsia="楷体"/>
                <w:kern w:val="4"/>
                <w:sz w:val="21"/>
                <w:szCs w:val="21"/>
              </w:rPr>
              <w:t>杭村至山下连接公路</w:t>
            </w:r>
          </w:p>
        </w:tc>
        <w:tc>
          <w:tcPr>
            <w:tcW w:w="1417"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 xml:space="preserve">7.50 </w:t>
            </w:r>
          </w:p>
        </w:tc>
        <w:tc>
          <w:tcPr>
            <w:tcW w:w="1275"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三级</w:t>
            </w:r>
          </w:p>
        </w:tc>
        <w:tc>
          <w:tcPr>
            <w:tcW w:w="1134"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一般</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17</w:t>
            </w:r>
          </w:p>
        </w:tc>
        <w:tc>
          <w:tcPr>
            <w:tcW w:w="3735" w:type="dxa"/>
            <w:shd w:val="clear" w:color="auto" w:fill="auto"/>
            <w:noWrap/>
            <w:vAlign w:val="center"/>
          </w:tcPr>
          <w:p>
            <w:pPr>
              <w:widowControl/>
              <w:autoSpaceDE/>
              <w:autoSpaceDN/>
              <w:ind w:firstLine="0" w:firstLineChars="0"/>
              <w:jc w:val="left"/>
              <w:rPr>
                <w:rFonts w:ascii="Times New Roman" w:hAnsi="Times New Roman" w:eastAsia="楷体"/>
                <w:kern w:val="4"/>
                <w:sz w:val="21"/>
                <w:szCs w:val="21"/>
              </w:rPr>
            </w:pPr>
            <w:r>
              <w:rPr>
                <w:rFonts w:ascii="Times New Roman" w:hAnsi="Times New Roman" w:eastAsia="楷体"/>
                <w:kern w:val="4"/>
                <w:sz w:val="21"/>
                <w:szCs w:val="21"/>
              </w:rPr>
              <w:t>S246至孔家连接公路</w:t>
            </w:r>
          </w:p>
        </w:tc>
        <w:tc>
          <w:tcPr>
            <w:tcW w:w="1417"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 xml:space="preserve">0.70 </w:t>
            </w:r>
          </w:p>
        </w:tc>
        <w:tc>
          <w:tcPr>
            <w:tcW w:w="1275"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三级</w:t>
            </w:r>
          </w:p>
        </w:tc>
        <w:tc>
          <w:tcPr>
            <w:tcW w:w="1134"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一般</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18</w:t>
            </w:r>
          </w:p>
        </w:tc>
        <w:tc>
          <w:tcPr>
            <w:tcW w:w="3735" w:type="dxa"/>
            <w:shd w:val="clear" w:color="auto" w:fill="auto"/>
            <w:noWrap/>
            <w:vAlign w:val="center"/>
          </w:tcPr>
          <w:p>
            <w:pPr>
              <w:widowControl/>
              <w:autoSpaceDE/>
              <w:autoSpaceDN/>
              <w:ind w:firstLine="0" w:firstLineChars="0"/>
              <w:jc w:val="left"/>
              <w:rPr>
                <w:rFonts w:ascii="Times New Roman" w:hAnsi="Times New Roman" w:eastAsia="楷体"/>
                <w:kern w:val="4"/>
                <w:sz w:val="21"/>
                <w:szCs w:val="21"/>
              </w:rPr>
            </w:pPr>
            <w:r>
              <w:rPr>
                <w:rFonts w:hint="eastAsia" w:ascii="Times New Roman" w:hAnsi="Times New Roman" w:eastAsia="楷体"/>
                <w:kern w:val="4"/>
                <w:sz w:val="21"/>
                <w:szCs w:val="21"/>
              </w:rPr>
              <w:t>晶桥镇至</w:t>
            </w:r>
            <w:r>
              <w:rPr>
                <w:rFonts w:ascii="Times New Roman" w:hAnsi="Times New Roman" w:eastAsia="楷体"/>
                <w:kern w:val="4"/>
                <w:sz w:val="21"/>
                <w:szCs w:val="21"/>
              </w:rPr>
              <w:t>S123连接公路</w:t>
            </w:r>
          </w:p>
        </w:tc>
        <w:tc>
          <w:tcPr>
            <w:tcW w:w="1417"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 xml:space="preserve">10.30 </w:t>
            </w:r>
          </w:p>
        </w:tc>
        <w:tc>
          <w:tcPr>
            <w:tcW w:w="1275"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二级</w:t>
            </w:r>
          </w:p>
        </w:tc>
        <w:tc>
          <w:tcPr>
            <w:tcW w:w="1134"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一般</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79" w:type="dxa"/>
            <w:gridSpan w:val="2"/>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合计</w:t>
            </w:r>
          </w:p>
        </w:tc>
        <w:tc>
          <w:tcPr>
            <w:tcW w:w="1417"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98</w:t>
            </w:r>
            <w:r>
              <w:rPr>
                <w:rFonts w:ascii="Times New Roman" w:hAnsi="Times New Roman" w:eastAsia="楷体"/>
                <w:kern w:val="4"/>
                <w:sz w:val="21"/>
                <w:szCs w:val="21"/>
              </w:rPr>
              <w:t xml:space="preserve">.21 </w:t>
            </w:r>
          </w:p>
        </w:tc>
        <w:tc>
          <w:tcPr>
            <w:tcW w:w="1275"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p>
        </w:tc>
        <w:tc>
          <w:tcPr>
            <w:tcW w:w="1134" w:type="dxa"/>
            <w:shd w:val="clear" w:color="auto" w:fill="auto"/>
            <w:noWrap/>
            <w:vAlign w:val="center"/>
          </w:tcPr>
          <w:p>
            <w:pPr>
              <w:widowControl/>
              <w:autoSpaceDE/>
              <w:autoSpaceDN/>
              <w:ind w:firstLine="0" w:firstLineChars="0"/>
              <w:jc w:val="center"/>
              <w:rPr>
                <w:rFonts w:ascii="Times New Roman" w:hAnsi="Times New Roman" w:eastAsia="楷体"/>
                <w:kern w:val="4"/>
                <w:sz w:val="21"/>
                <w:szCs w:val="21"/>
              </w:rPr>
            </w:pPr>
          </w:p>
        </w:tc>
      </w:tr>
    </w:tbl>
    <w:p>
      <w:pPr>
        <w:ind w:firstLine="0" w:firstLineChars="0"/>
        <w:jc w:val="center"/>
        <w:rPr>
          <w:rFonts w:ascii="Times New Roman" w:hAnsi="Times New Roman" w:eastAsia="仿宋_GB2312"/>
          <w:kern w:val="4"/>
          <w:sz w:val="30"/>
          <w:szCs w:val="30"/>
        </w:rPr>
      </w:pPr>
      <w:r>
        <w:rPr>
          <w:kern w:val="4"/>
        </w:rPr>
        <w:drawing>
          <wp:inline distT="0" distB="0" distL="0" distR="0">
            <wp:extent cx="5171440" cy="5638800"/>
            <wp:effectExtent l="19050" t="1905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8"/>
                    <a:srcRect l="2799" t="18648" b="10866"/>
                    <a:stretch>
                      <a:fillRect/>
                    </a:stretch>
                  </pic:blipFill>
                  <pic:spPr>
                    <a:xfrm>
                      <a:off x="0" y="0"/>
                      <a:ext cx="5175291" cy="5642999"/>
                    </a:xfrm>
                    <a:prstGeom prst="rect">
                      <a:avLst/>
                    </a:prstGeom>
                    <a:ln w="3175">
                      <a:solidFill>
                        <a:schemeClr val="tx1"/>
                      </a:solidFill>
                    </a:ln>
                  </pic:spPr>
                </pic:pic>
              </a:graphicData>
            </a:graphic>
          </wp:inline>
        </w:drawing>
      </w:r>
    </w:p>
    <w:p>
      <w:pPr>
        <w:snapToGrid w:val="0"/>
        <w:spacing w:line="480" w:lineRule="exact"/>
        <w:ind w:firstLine="0" w:firstLineChars="0"/>
        <w:jc w:val="center"/>
        <w:rPr>
          <w:rFonts w:ascii="Times New Roman" w:hAnsi="Times New Roman" w:eastAsia="黑体"/>
          <w:bCs/>
          <w:kern w:val="4"/>
          <w:sz w:val="24"/>
        </w:rPr>
      </w:pPr>
      <w:r>
        <w:rPr>
          <w:rFonts w:hint="eastAsia" w:ascii="Times New Roman" w:hAnsi="Times New Roman" w:eastAsia="黑体"/>
          <w:bCs/>
          <w:kern w:val="4"/>
          <w:sz w:val="24"/>
        </w:rPr>
        <w:t>图</w:t>
      </w:r>
      <w:r>
        <w:rPr>
          <w:rFonts w:ascii="Times New Roman" w:hAnsi="Times New Roman" w:eastAsia="黑体"/>
          <w:bCs/>
          <w:kern w:val="4"/>
          <w:sz w:val="24"/>
        </w:rPr>
        <w:t xml:space="preserve">4-2  </w:t>
      </w:r>
      <w:r>
        <w:rPr>
          <w:rFonts w:hint="eastAsia" w:ascii="Times New Roman" w:hAnsi="Times New Roman" w:eastAsia="黑体"/>
          <w:bCs/>
          <w:kern w:val="4"/>
          <w:sz w:val="24"/>
        </w:rPr>
        <w:t>集疏散连接公路规划布局图</w:t>
      </w:r>
    </w:p>
    <w:p>
      <w:pPr>
        <w:spacing w:afterLines="50"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（4）农村公路</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按照建设“四好农村路”和实施农村公路生命安全防护工程的总体要求，加快完善农村公路路网结构和安保设施，</w:t>
      </w:r>
      <w:r>
        <w:rPr>
          <w:rFonts w:hint="eastAsia" w:ascii="Times New Roman" w:hAnsi="Times New Roman" w:eastAsia="仿宋_GB2312"/>
          <w:kern w:val="4"/>
          <w:sz w:val="30"/>
          <w:szCs w:val="30"/>
        </w:rPr>
        <w:t>围绕江苏“建好、管好、护好、运营好”农村公路的奋斗目标，</w:t>
      </w:r>
      <w:r>
        <w:rPr>
          <w:rFonts w:ascii="Times New Roman" w:hAnsi="Times New Roman" w:eastAsia="仿宋_GB2312"/>
          <w:kern w:val="4"/>
          <w:sz w:val="30"/>
          <w:szCs w:val="30"/>
        </w:rPr>
        <w:t>到2020年，建成“通畅、便利、安全、和谐”的农村公路网，全面提升农村公路服务水平。</w:t>
      </w:r>
      <w:r>
        <w:rPr>
          <w:rFonts w:hint="eastAsia" w:ascii="Times New Roman" w:hAnsi="Times New Roman" w:eastAsia="仿宋_GB2312"/>
          <w:kern w:val="4"/>
          <w:sz w:val="30"/>
          <w:szCs w:val="30"/>
        </w:rPr>
        <w:t>十三五”期间</w:t>
      </w:r>
      <w:r>
        <w:rPr>
          <w:rFonts w:ascii="Times New Roman" w:hAnsi="Times New Roman" w:eastAsia="仿宋_GB2312"/>
          <w:kern w:val="4"/>
          <w:sz w:val="30"/>
          <w:szCs w:val="30"/>
        </w:rPr>
        <w:t>，农村公路新改建及提档升级（含危桥改造）规模共466公里。其中2016-2018年，总规模363公里，2019-2020年总规模103公里。</w:t>
      </w:r>
    </w:p>
    <w:p>
      <w:pPr>
        <w:spacing w:line="560" w:lineRule="exact"/>
        <w:ind w:firstLine="602"/>
        <w:rPr>
          <w:rFonts w:ascii="Times New Roman" w:hAnsi="Times New Roman" w:eastAsia="仿宋_GB2312"/>
          <w:kern w:val="4"/>
          <w:sz w:val="30"/>
          <w:szCs w:val="30"/>
        </w:rPr>
      </w:pPr>
      <w:r>
        <w:rPr>
          <w:rFonts w:hint="eastAsia" w:ascii="Times New Roman" w:hAnsi="Times New Roman" w:eastAsia="仿宋_GB2312"/>
          <w:b/>
          <w:kern w:val="4"/>
          <w:sz w:val="30"/>
          <w:szCs w:val="30"/>
        </w:rPr>
        <w:t>——完成新规划县道公路网达标及路面养护改善项目。</w:t>
      </w:r>
      <w:r>
        <w:rPr>
          <w:rFonts w:ascii="Times New Roman" w:hAnsi="Times New Roman" w:eastAsia="仿宋_GB2312"/>
          <w:kern w:val="4"/>
          <w:sz w:val="30"/>
          <w:szCs w:val="30"/>
        </w:rPr>
        <w:t>“十三五”期间，</w:t>
      </w:r>
      <w:r>
        <w:rPr>
          <w:rFonts w:hint="eastAsia" w:ascii="Times New Roman" w:hAnsi="Times New Roman" w:eastAsia="仿宋_GB2312"/>
          <w:kern w:val="4"/>
          <w:sz w:val="30"/>
          <w:szCs w:val="30"/>
        </w:rPr>
        <w:t>进一步完成部分</w:t>
      </w:r>
      <w:r>
        <w:rPr>
          <w:rFonts w:ascii="Times New Roman" w:hAnsi="Times New Roman" w:eastAsia="仿宋_GB2312"/>
          <w:kern w:val="4"/>
          <w:sz w:val="30"/>
          <w:szCs w:val="30"/>
        </w:rPr>
        <w:t>未达标</w:t>
      </w:r>
      <w:r>
        <w:rPr>
          <w:rFonts w:hint="eastAsia" w:ascii="Times New Roman" w:hAnsi="Times New Roman" w:eastAsia="仿宋_GB2312"/>
          <w:kern w:val="4"/>
          <w:sz w:val="30"/>
          <w:szCs w:val="30"/>
        </w:rPr>
        <w:t>县</w:t>
      </w:r>
      <w:r>
        <w:rPr>
          <w:rFonts w:ascii="Times New Roman" w:hAnsi="Times New Roman" w:eastAsia="仿宋_GB2312"/>
          <w:kern w:val="4"/>
          <w:sz w:val="30"/>
          <w:szCs w:val="30"/>
        </w:rPr>
        <w:t>道</w:t>
      </w:r>
      <w:r>
        <w:rPr>
          <w:rFonts w:hint="eastAsia" w:ascii="Times New Roman" w:hAnsi="Times New Roman" w:eastAsia="仿宋_GB2312"/>
          <w:kern w:val="4"/>
          <w:sz w:val="30"/>
          <w:szCs w:val="30"/>
        </w:rPr>
        <w:t>升级</w:t>
      </w:r>
      <w:r>
        <w:rPr>
          <w:rFonts w:ascii="Times New Roman" w:hAnsi="Times New Roman" w:eastAsia="仿宋_GB2312"/>
          <w:kern w:val="4"/>
          <w:sz w:val="30"/>
          <w:szCs w:val="30"/>
        </w:rPr>
        <w:t>改造</w:t>
      </w:r>
      <w:r>
        <w:rPr>
          <w:rFonts w:hint="eastAsia" w:ascii="Times New Roman" w:hAnsi="Times New Roman" w:eastAsia="仿宋_GB2312"/>
          <w:kern w:val="4"/>
          <w:sz w:val="30"/>
          <w:szCs w:val="30"/>
        </w:rPr>
        <w:t>。</w:t>
      </w:r>
      <w:r>
        <w:rPr>
          <w:rFonts w:ascii="Times New Roman" w:hAnsi="Times New Roman" w:eastAsia="仿宋_GB2312"/>
          <w:kern w:val="4"/>
          <w:sz w:val="30"/>
          <w:szCs w:val="30"/>
        </w:rPr>
        <w:t>到2020年，</w:t>
      </w:r>
      <w:r>
        <w:rPr>
          <w:rFonts w:hint="eastAsia" w:ascii="Times New Roman" w:hAnsi="Times New Roman" w:eastAsia="仿宋_GB2312"/>
          <w:kern w:val="4"/>
          <w:sz w:val="30"/>
          <w:szCs w:val="30"/>
        </w:rPr>
        <w:t>规划</w:t>
      </w:r>
      <w:r>
        <w:rPr>
          <w:rFonts w:ascii="Times New Roman" w:hAnsi="Times New Roman" w:eastAsia="仿宋_GB2312"/>
          <w:kern w:val="4"/>
          <w:sz w:val="30"/>
          <w:szCs w:val="30"/>
        </w:rPr>
        <w:t>三级及以</w:t>
      </w:r>
      <w:r>
        <w:rPr>
          <w:rFonts w:hint="eastAsia" w:ascii="Times New Roman" w:hAnsi="Times New Roman" w:eastAsia="仿宋_GB2312"/>
          <w:kern w:val="4"/>
          <w:sz w:val="30"/>
          <w:szCs w:val="30"/>
        </w:rPr>
        <w:t>上</w:t>
      </w:r>
      <w:r>
        <w:rPr>
          <w:rFonts w:ascii="Times New Roman" w:hAnsi="Times New Roman" w:eastAsia="仿宋_GB2312"/>
          <w:kern w:val="4"/>
          <w:sz w:val="30"/>
          <w:szCs w:val="30"/>
        </w:rPr>
        <w:t>县道</w:t>
      </w:r>
      <w:r>
        <w:rPr>
          <w:rFonts w:hint="eastAsia" w:ascii="Times New Roman" w:hAnsi="Times New Roman" w:eastAsia="仿宋_GB2312"/>
          <w:kern w:val="4"/>
          <w:sz w:val="30"/>
          <w:szCs w:val="30"/>
        </w:rPr>
        <w:t>占比</w:t>
      </w:r>
      <w:r>
        <w:rPr>
          <w:rFonts w:ascii="Times New Roman" w:hAnsi="Times New Roman" w:eastAsia="仿宋_GB2312"/>
          <w:kern w:val="4"/>
          <w:sz w:val="30"/>
          <w:szCs w:val="30"/>
        </w:rPr>
        <w:t>不低于</w:t>
      </w:r>
      <w:r>
        <w:rPr>
          <w:rFonts w:hint="eastAsia" w:ascii="Times New Roman" w:hAnsi="Times New Roman" w:eastAsia="仿宋_GB2312"/>
          <w:kern w:val="4"/>
          <w:sz w:val="30"/>
          <w:szCs w:val="30"/>
        </w:rPr>
        <w:t>90</w:t>
      </w:r>
      <w:r>
        <w:rPr>
          <w:rFonts w:ascii="Times New Roman" w:hAnsi="Times New Roman" w:eastAsia="仿宋_GB2312"/>
          <w:kern w:val="4"/>
          <w:sz w:val="30"/>
          <w:szCs w:val="30"/>
        </w:rPr>
        <w:t>%，</w:t>
      </w:r>
      <w:r>
        <w:rPr>
          <w:rFonts w:hint="eastAsia" w:ascii="Times New Roman" w:hAnsi="Times New Roman" w:eastAsia="仿宋_GB2312"/>
          <w:kern w:val="4"/>
          <w:sz w:val="30"/>
          <w:szCs w:val="30"/>
        </w:rPr>
        <w:t>县道优良</w:t>
      </w:r>
      <w:r>
        <w:rPr>
          <w:rFonts w:ascii="Times New Roman" w:hAnsi="Times New Roman" w:eastAsia="仿宋_GB2312"/>
          <w:kern w:val="4"/>
          <w:sz w:val="30"/>
          <w:szCs w:val="30"/>
        </w:rPr>
        <w:t>路率</w:t>
      </w:r>
      <w:r>
        <w:rPr>
          <w:rFonts w:hint="eastAsia" w:ascii="Times New Roman" w:hAnsi="Times New Roman" w:eastAsia="仿宋_GB2312"/>
          <w:kern w:val="4"/>
          <w:sz w:val="30"/>
          <w:szCs w:val="30"/>
        </w:rPr>
        <w:t>达到省市</w:t>
      </w:r>
      <w:r>
        <w:rPr>
          <w:rFonts w:ascii="Times New Roman" w:hAnsi="Times New Roman" w:eastAsia="仿宋_GB2312"/>
          <w:kern w:val="4"/>
          <w:sz w:val="30"/>
          <w:szCs w:val="30"/>
        </w:rPr>
        <w:t>要求，为营造“畅、安、舒、美”的</w:t>
      </w:r>
      <w:r>
        <w:rPr>
          <w:rFonts w:hint="eastAsia" w:ascii="Times New Roman" w:hAnsi="Times New Roman" w:eastAsia="仿宋_GB2312"/>
          <w:kern w:val="4"/>
          <w:sz w:val="30"/>
          <w:szCs w:val="30"/>
        </w:rPr>
        <w:t>县</w:t>
      </w:r>
      <w:r>
        <w:rPr>
          <w:rFonts w:ascii="Times New Roman" w:hAnsi="Times New Roman" w:eastAsia="仿宋_GB2312"/>
          <w:kern w:val="4"/>
          <w:sz w:val="30"/>
          <w:szCs w:val="30"/>
        </w:rPr>
        <w:t>道路域环境，打造城乡交通一体化奠定坚</w:t>
      </w:r>
      <w:r>
        <w:rPr>
          <w:rFonts w:hint="eastAsia" w:ascii="Times New Roman" w:hAnsi="Times New Roman" w:eastAsia="仿宋_GB2312"/>
          <w:kern w:val="4"/>
          <w:sz w:val="30"/>
          <w:szCs w:val="30"/>
        </w:rPr>
        <w:t>实</w:t>
      </w:r>
      <w:r>
        <w:rPr>
          <w:rFonts w:ascii="Times New Roman" w:hAnsi="Times New Roman" w:eastAsia="仿宋_GB2312"/>
          <w:kern w:val="4"/>
          <w:sz w:val="30"/>
          <w:szCs w:val="30"/>
        </w:rPr>
        <w:t>基础。</w:t>
      </w:r>
    </w:p>
    <w:p>
      <w:pPr>
        <w:spacing w:line="560" w:lineRule="exact"/>
        <w:ind w:firstLine="170" w:firstLineChars="71"/>
        <w:jc w:val="center"/>
        <w:rPr>
          <w:rFonts w:ascii="Times New Roman" w:hAnsi="Times New Roman" w:eastAsia="黑体"/>
          <w:bCs/>
          <w:kern w:val="4"/>
          <w:sz w:val="24"/>
        </w:rPr>
      </w:pPr>
      <w:r>
        <w:rPr>
          <w:rFonts w:ascii="Times New Roman" w:hAnsi="Times New Roman" w:eastAsia="黑体"/>
          <w:bCs/>
          <w:kern w:val="4"/>
          <w:sz w:val="24"/>
        </w:rPr>
        <w:t>表4-3 溧水区县道公路网规划布局方案表（单位：公里）</w:t>
      </w:r>
    </w:p>
    <w:tbl>
      <w:tblPr>
        <w:tblStyle w:val="30"/>
        <w:tblW w:w="9072"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907"/>
        <w:gridCol w:w="1595"/>
        <w:gridCol w:w="1277"/>
        <w:gridCol w:w="1361"/>
        <w:gridCol w:w="1757"/>
        <w:gridCol w:w="1416"/>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759" w:type="dxa"/>
            <w:vMerge w:val="restart"/>
            <w:tcBorders>
              <w:top w:val="double" w:color="auto" w:sz="4" w:space="0"/>
            </w:tcBorders>
            <w:vAlign w:val="center"/>
          </w:tcPr>
          <w:p>
            <w:pPr>
              <w:widowControl/>
              <w:autoSpaceDE/>
              <w:autoSpaceDN/>
              <w:ind w:firstLine="0" w:firstLineChars="0"/>
              <w:jc w:val="center"/>
              <w:rPr>
                <w:rFonts w:ascii="Times New Roman" w:hAnsi="Times New Roman" w:eastAsia="楷体"/>
                <w:b/>
                <w:bCs/>
                <w:kern w:val="4"/>
                <w:sz w:val="22"/>
                <w:szCs w:val="22"/>
              </w:rPr>
            </w:pPr>
            <w:r>
              <w:rPr>
                <w:rFonts w:ascii="Times New Roman" w:hAnsi="Times New Roman" w:eastAsia="楷体"/>
                <w:b/>
                <w:bCs/>
                <w:kern w:val="4"/>
                <w:sz w:val="22"/>
                <w:szCs w:val="22"/>
              </w:rPr>
              <w:t>序号</w:t>
            </w:r>
          </w:p>
        </w:tc>
        <w:tc>
          <w:tcPr>
            <w:tcW w:w="907" w:type="dxa"/>
            <w:vMerge w:val="restart"/>
            <w:tcBorders>
              <w:top w:val="double" w:color="auto" w:sz="4" w:space="0"/>
            </w:tcBorders>
            <w:vAlign w:val="center"/>
          </w:tcPr>
          <w:p>
            <w:pPr>
              <w:widowControl/>
              <w:autoSpaceDE/>
              <w:autoSpaceDN/>
              <w:ind w:firstLine="0" w:firstLineChars="0"/>
              <w:jc w:val="center"/>
              <w:rPr>
                <w:rFonts w:ascii="Times New Roman" w:hAnsi="Times New Roman" w:eastAsia="楷体"/>
                <w:b/>
                <w:bCs/>
                <w:kern w:val="4"/>
                <w:sz w:val="22"/>
                <w:szCs w:val="22"/>
              </w:rPr>
            </w:pPr>
            <w:r>
              <w:rPr>
                <w:rFonts w:ascii="Times New Roman" w:hAnsi="Times New Roman" w:eastAsia="楷体"/>
                <w:b/>
                <w:bCs/>
                <w:kern w:val="4"/>
                <w:sz w:val="22"/>
                <w:szCs w:val="22"/>
              </w:rPr>
              <w:t>线路编号</w:t>
            </w:r>
          </w:p>
        </w:tc>
        <w:tc>
          <w:tcPr>
            <w:tcW w:w="2872" w:type="dxa"/>
            <w:gridSpan w:val="2"/>
            <w:tcBorders>
              <w:top w:val="double" w:color="auto" w:sz="4" w:space="0"/>
            </w:tcBorders>
            <w:vAlign w:val="center"/>
          </w:tcPr>
          <w:p>
            <w:pPr>
              <w:widowControl/>
              <w:autoSpaceDE/>
              <w:autoSpaceDN/>
              <w:ind w:firstLine="0" w:firstLineChars="0"/>
              <w:jc w:val="center"/>
              <w:rPr>
                <w:rFonts w:ascii="Times New Roman" w:hAnsi="Times New Roman" w:eastAsia="楷体"/>
                <w:b/>
                <w:bCs/>
                <w:kern w:val="4"/>
                <w:sz w:val="22"/>
                <w:szCs w:val="22"/>
              </w:rPr>
            </w:pPr>
            <w:r>
              <w:rPr>
                <w:rFonts w:ascii="Times New Roman" w:hAnsi="Times New Roman" w:eastAsia="楷体"/>
                <w:b/>
                <w:bCs/>
                <w:kern w:val="4"/>
                <w:sz w:val="22"/>
                <w:szCs w:val="22"/>
              </w:rPr>
              <w:t>线路位置</w:t>
            </w:r>
          </w:p>
        </w:tc>
        <w:tc>
          <w:tcPr>
            <w:tcW w:w="1361" w:type="dxa"/>
            <w:vMerge w:val="restart"/>
            <w:tcBorders>
              <w:top w:val="double" w:color="auto" w:sz="4" w:space="0"/>
            </w:tcBorders>
            <w:vAlign w:val="center"/>
          </w:tcPr>
          <w:p>
            <w:pPr>
              <w:widowControl/>
              <w:autoSpaceDE/>
              <w:autoSpaceDN/>
              <w:ind w:firstLine="0" w:firstLineChars="0"/>
              <w:jc w:val="center"/>
              <w:rPr>
                <w:rFonts w:ascii="Times New Roman" w:hAnsi="Times New Roman" w:eastAsia="楷体"/>
                <w:b/>
                <w:bCs/>
                <w:kern w:val="4"/>
                <w:sz w:val="22"/>
                <w:szCs w:val="22"/>
              </w:rPr>
            </w:pPr>
            <w:r>
              <w:rPr>
                <w:rFonts w:ascii="Times New Roman" w:hAnsi="Times New Roman" w:eastAsia="楷体"/>
                <w:b/>
                <w:bCs/>
                <w:kern w:val="4"/>
                <w:sz w:val="22"/>
                <w:szCs w:val="22"/>
              </w:rPr>
              <w:t>线路里程（公里）</w:t>
            </w:r>
          </w:p>
        </w:tc>
        <w:tc>
          <w:tcPr>
            <w:tcW w:w="1757" w:type="dxa"/>
            <w:vMerge w:val="restart"/>
            <w:tcBorders>
              <w:top w:val="double" w:color="auto" w:sz="4" w:space="0"/>
            </w:tcBorders>
            <w:vAlign w:val="center"/>
          </w:tcPr>
          <w:p>
            <w:pPr>
              <w:widowControl/>
              <w:autoSpaceDE/>
              <w:autoSpaceDN/>
              <w:ind w:firstLine="0" w:firstLineChars="0"/>
              <w:jc w:val="center"/>
              <w:rPr>
                <w:rFonts w:ascii="Times New Roman" w:hAnsi="Times New Roman" w:eastAsia="楷体"/>
                <w:b/>
                <w:bCs/>
                <w:kern w:val="4"/>
                <w:sz w:val="22"/>
                <w:szCs w:val="22"/>
              </w:rPr>
            </w:pPr>
            <w:r>
              <w:rPr>
                <w:rFonts w:ascii="Times New Roman" w:hAnsi="Times New Roman" w:eastAsia="楷体"/>
                <w:b/>
                <w:bCs/>
                <w:kern w:val="4"/>
                <w:sz w:val="22"/>
                <w:szCs w:val="22"/>
              </w:rPr>
              <w:t>规划技术等级</w:t>
            </w:r>
          </w:p>
        </w:tc>
        <w:tc>
          <w:tcPr>
            <w:tcW w:w="1416" w:type="dxa"/>
            <w:vMerge w:val="restart"/>
            <w:tcBorders>
              <w:top w:val="double" w:color="auto" w:sz="4" w:space="0"/>
            </w:tcBorders>
            <w:vAlign w:val="center"/>
          </w:tcPr>
          <w:p>
            <w:pPr>
              <w:widowControl/>
              <w:autoSpaceDE/>
              <w:autoSpaceDN/>
              <w:ind w:firstLine="0" w:firstLineChars="0"/>
              <w:jc w:val="center"/>
              <w:rPr>
                <w:rFonts w:ascii="Times New Roman" w:hAnsi="Times New Roman" w:eastAsia="楷体"/>
                <w:b/>
                <w:bCs/>
                <w:kern w:val="4"/>
                <w:sz w:val="22"/>
                <w:szCs w:val="22"/>
              </w:rPr>
            </w:pPr>
            <w:r>
              <w:rPr>
                <w:rFonts w:ascii="Times New Roman" w:hAnsi="Times New Roman" w:eastAsia="楷体"/>
                <w:b/>
                <w:bCs/>
                <w:kern w:val="4"/>
                <w:sz w:val="22"/>
                <w:szCs w:val="22"/>
              </w:rPr>
              <w:t>建设年限</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759" w:type="dxa"/>
            <w:vMerge w:val="continue"/>
            <w:vAlign w:val="center"/>
          </w:tcPr>
          <w:p>
            <w:pPr>
              <w:widowControl/>
              <w:autoSpaceDE/>
              <w:autoSpaceDN/>
              <w:ind w:firstLine="0" w:firstLineChars="0"/>
              <w:jc w:val="left"/>
              <w:rPr>
                <w:rFonts w:ascii="Times New Roman" w:hAnsi="Times New Roman" w:eastAsia="楷体"/>
                <w:bCs/>
                <w:kern w:val="4"/>
                <w:sz w:val="22"/>
                <w:szCs w:val="22"/>
              </w:rPr>
            </w:pPr>
          </w:p>
        </w:tc>
        <w:tc>
          <w:tcPr>
            <w:tcW w:w="907" w:type="dxa"/>
            <w:vMerge w:val="continue"/>
            <w:vAlign w:val="center"/>
          </w:tcPr>
          <w:p>
            <w:pPr>
              <w:widowControl/>
              <w:autoSpaceDE/>
              <w:autoSpaceDN/>
              <w:ind w:firstLine="0" w:firstLineChars="0"/>
              <w:jc w:val="left"/>
              <w:rPr>
                <w:rFonts w:ascii="Times New Roman" w:hAnsi="Times New Roman" w:eastAsia="楷体"/>
                <w:bCs/>
                <w:kern w:val="4"/>
                <w:sz w:val="22"/>
                <w:szCs w:val="22"/>
              </w:rPr>
            </w:pPr>
          </w:p>
        </w:tc>
        <w:tc>
          <w:tcPr>
            <w:tcW w:w="1595" w:type="dxa"/>
            <w:vAlign w:val="center"/>
          </w:tcPr>
          <w:p>
            <w:pPr>
              <w:widowControl/>
              <w:autoSpaceDE/>
              <w:autoSpaceDN/>
              <w:ind w:firstLine="0" w:firstLineChars="0"/>
              <w:jc w:val="center"/>
              <w:rPr>
                <w:rFonts w:ascii="Times New Roman" w:hAnsi="Times New Roman" w:eastAsia="楷体"/>
                <w:b/>
                <w:bCs/>
                <w:kern w:val="4"/>
                <w:sz w:val="22"/>
                <w:szCs w:val="22"/>
              </w:rPr>
            </w:pPr>
            <w:r>
              <w:rPr>
                <w:rFonts w:ascii="Times New Roman" w:hAnsi="Times New Roman" w:eastAsia="楷体"/>
                <w:b/>
                <w:bCs/>
                <w:kern w:val="4"/>
                <w:sz w:val="22"/>
                <w:szCs w:val="22"/>
              </w:rPr>
              <w:t>起点名称</w:t>
            </w:r>
          </w:p>
        </w:tc>
        <w:tc>
          <w:tcPr>
            <w:tcW w:w="1277" w:type="dxa"/>
            <w:vAlign w:val="center"/>
          </w:tcPr>
          <w:p>
            <w:pPr>
              <w:widowControl/>
              <w:autoSpaceDE/>
              <w:autoSpaceDN/>
              <w:ind w:firstLine="0" w:firstLineChars="0"/>
              <w:jc w:val="center"/>
              <w:rPr>
                <w:rFonts w:ascii="Times New Roman" w:hAnsi="Times New Roman" w:eastAsia="楷体"/>
                <w:b/>
                <w:bCs/>
                <w:kern w:val="4"/>
                <w:sz w:val="22"/>
                <w:szCs w:val="22"/>
              </w:rPr>
            </w:pPr>
            <w:r>
              <w:rPr>
                <w:rFonts w:ascii="Times New Roman" w:hAnsi="Times New Roman" w:eastAsia="楷体"/>
                <w:b/>
                <w:bCs/>
                <w:kern w:val="4"/>
                <w:sz w:val="22"/>
                <w:szCs w:val="22"/>
              </w:rPr>
              <w:t>终点名称</w:t>
            </w:r>
          </w:p>
        </w:tc>
        <w:tc>
          <w:tcPr>
            <w:tcW w:w="1361" w:type="dxa"/>
            <w:vMerge w:val="continue"/>
            <w:vAlign w:val="center"/>
          </w:tcPr>
          <w:p>
            <w:pPr>
              <w:widowControl/>
              <w:autoSpaceDE/>
              <w:autoSpaceDN/>
              <w:ind w:firstLine="0" w:firstLineChars="0"/>
              <w:jc w:val="left"/>
              <w:rPr>
                <w:rFonts w:ascii="Times New Roman" w:hAnsi="Times New Roman" w:eastAsia="楷体"/>
                <w:bCs/>
                <w:kern w:val="4"/>
                <w:sz w:val="22"/>
                <w:szCs w:val="22"/>
              </w:rPr>
            </w:pPr>
          </w:p>
        </w:tc>
        <w:tc>
          <w:tcPr>
            <w:tcW w:w="1757" w:type="dxa"/>
            <w:vMerge w:val="continue"/>
            <w:vAlign w:val="center"/>
          </w:tcPr>
          <w:p>
            <w:pPr>
              <w:widowControl/>
              <w:autoSpaceDE/>
              <w:autoSpaceDN/>
              <w:ind w:firstLine="0" w:firstLineChars="0"/>
              <w:jc w:val="left"/>
              <w:rPr>
                <w:rFonts w:ascii="Times New Roman" w:hAnsi="Times New Roman" w:eastAsia="楷体"/>
                <w:bCs/>
                <w:kern w:val="4"/>
                <w:sz w:val="22"/>
                <w:szCs w:val="22"/>
              </w:rPr>
            </w:pPr>
          </w:p>
        </w:tc>
        <w:tc>
          <w:tcPr>
            <w:tcW w:w="1416" w:type="dxa"/>
            <w:vMerge w:val="continue"/>
            <w:vAlign w:val="center"/>
          </w:tcPr>
          <w:p>
            <w:pPr>
              <w:widowControl/>
              <w:autoSpaceDE/>
              <w:autoSpaceDN/>
              <w:ind w:firstLine="0" w:firstLineChars="0"/>
              <w:jc w:val="left"/>
              <w:rPr>
                <w:rFonts w:ascii="Times New Roman" w:hAnsi="Times New Roman" w:eastAsia="楷体"/>
                <w:bCs/>
                <w:kern w:val="4"/>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w:t>
            </w:r>
          </w:p>
        </w:tc>
        <w:tc>
          <w:tcPr>
            <w:tcW w:w="90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X101</w:t>
            </w:r>
          </w:p>
        </w:tc>
        <w:tc>
          <w:tcPr>
            <w:tcW w:w="1595"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梅山</w:t>
            </w:r>
          </w:p>
        </w:tc>
        <w:tc>
          <w:tcPr>
            <w:tcW w:w="127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富滨</w:t>
            </w:r>
          </w:p>
        </w:tc>
        <w:tc>
          <w:tcPr>
            <w:tcW w:w="136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5.865</w:t>
            </w:r>
          </w:p>
        </w:tc>
        <w:tc>
          <w:tcPr>
            <w:tcW w:w="175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三级</w:t>
            </w:r>
          </w:p>
        </w:tc>
        <w:tc>
          <w:tcPr>
            <w:tcW w:w="1416"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2018</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w:t>
            </w:r>
          </w:p>
        </w:tc>
        <w:tc>
          <w:tcPr>
            <w:tcW w:w="90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X102</w:t>
            </w:r>
          </w:p>
        </w:tc>
        <w:tc>
          <w:tcPr>
            <w:tcW w:w="1595"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宁朗公路</w:t>
            </w:r>
          </w:p>
        </w:tc>
        <w:tc>
          <w:tcPr>
            <w:tcW w:w="127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明觉</w:t>
            </w:r>
          </w:p>
        </w:tc>
        <w:tc>
          <w:tcPr>
            <w:tcW w:w="136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28.159</w:t>
            </w:r>
          </w:p>
        </w:tc>
        <w:tc>
          <w:tcPr>
            <w:tcW w:w="175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一级/二级/三级</w:t>
            </w:r>
          </w:p>
        </w:tc>
        <w:tc>
          <w:tcPr>
            <w:tcW w:w="1416"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2014-2018</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3</w:t>
            </w:r>
          </w:p>
        </w:tc>
        <w:tc>
          <w:tcPr>
            <w:tcW w:w="90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X103</w:t>
            </w:r>
          </w:p>
        </w:tc>
        <w:tc>
          <w:tcPr>
            <w:tcW w:w="1595"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江宁界</w:t>
            </w:r>
          </w:p>
        </w:tc>
        <w:tc>
          <w:tcPr>
            <w:tcW w:w="127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S243(石湫）</w:t>
            </w:r>
          </w:p>
        </w:tc>
        <w:tc>
          <w:tcPr>
            <w:tcW w:w="136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0.75</w:t>
            </w:r>
          </w:p>
        </w:tc>
        <w:tc>
          <w:tcPr>
            <w:tcW w:w="175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二级</w:t>
            </w:r>
          </w:p>
        </w:tc>
        <w:tc>
          <w:tcPr>
            <w:tcW w:w="1416" w:type="dxa"/>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4</w:t>
            </w:r>
          </w:p>
        </w:tc>
        <w:tc>
          <w:tcPr>
            <w:tcW w:w="90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X104</w:t>
            </w:r>
          </w:p>
        </w:tc>
        <w:tc>
          <w:tcPr>
            <w:tcW w:w="1595"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袁巷</w:t>
            </w:r>
          </w:p>
        </w:tc>
        <w:tc>
          <w:tcPr>
            <w:tcW w:w="127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东庐山</w:t>
            </w:r>
          </w:p>
        </w:tc>
        <w:tc>
          <w:tcPr>
            <w:tcW w:w="136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6.192</w:t>
            </w:r>
          </w:p>
        </w:tc>
        <w:tc>
          <w:tcPr>
            <w:tcW w:w="175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三级</w:t>
            </w:r>
          </w:p>
        </w:tc>
        <w:tc>
          <w:tcPr>
            <w:tcW w:w="1416"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2016</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5</w:t>
            </w:r>
          </w:p>
        </w:tc>
        <w:tc>
          <w:tcPr>
            <w:tcW w:w="90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X105</w:t>
            </w:r>
          </w:p>
        </w:tc>
        <w:tc>
          <w:tcPr>
            <w:tcW w:w="1595"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戴家</w:t>
            </w:r>
          </w:p>
        </w:tc>
        <w:tc>
          <w:tcPr>
            <w:tcW w:w="127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上港</w:t>
            </w:r>
          </w:p>
        </w:tc>
        <w:tc>
          <w:tcPr>
            <w:tcW w:w="136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12.012</w:t>
            </w:r>
          </w:p>
        </w:tc>
        <w:tc>
          <w:tcPr>
            <w:tcW w:w="175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二级/三级</w:t>
            </w:r>
          </w:p>
        </w:tc>
        <w:tc>
          <w:tcPr>
            <w:tcW w:w="1416"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2019</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6</w:t>
            </w:r>
          </w:p>
        </w:tc>
        <w:tc>
          <w:tcPr>
            <w:tcW w:w="90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X151</w:t>
            </w:r>
          </w:p>
        </w:tc>
        <w:tc>
          <w:tcPr>
            <w:tcW w:w="1595"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小王边</w:t>
            </w:r>
          </w:p>
        </w:tc>
        <w:tc>
          <w:tcPr>
            <w:tcW w:w="127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无想山</w:t>
            </w:r>
          </w:p>
        </w:tc>
        <w:tc>
          <w:tcPr>
            <w:tcW w:w="136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17.43</w:t>
            </w:r>
          </w:p>
        </w:tc>
        <w:tc>
          <w:tcPr>
            <w:tcW w:w="175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三级</w:t>
            </w:r>
          </w:p>
        </w:tc>
        <w:tc>
          <w:tcPr>
            <w:tcW w:w="1416"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2019</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7</w:t>
            </w:r>
          </w:p>
        </w:tc>
        <w:tc>
          <w:tcPr>
            <w:tcW w:w="90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X152</w:t>
            </w:r>
          </w:p>
        </w:tc>
        <w:tc>
          <w:tcPr>
            <w:tcW w:w="1595"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东袁线</w:t>
            </w:r>
          </w:p>
        </w:tc>
        <w:tc>
          <w:tcPr>
            <w:tcW w:w="127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杜巷</w:t>
            </w:r>
          </w:p>
        </w:tc>
        <w:tc>
          <w:tcPr>
            <w:tcW w:w="1361" w:type="dxa"/>
            <w:vAlign w:val="center"/>
          </w:tcPr>
          <w:p>
            <w:pPr>
              <w:widowControl/>
              <w:autoSpaceDE/>
              <w:autoSpaceDN/>
              <w:ind w:firstLine="0" w:firstLineChars="0"/>
              <w:jc w:val="center"/>
              <w:rPr>
                <w:rFonts w:ascii="Times New Roman" w:hAnsi="Times New Roman" w:eastAsia="楷体"/>
                <w:kern w:val="4"/>
                <w:sz w:val="21"/>
                <w:szCs w:val="21"/>
              </w:rPr>
            </w:pPr>
          </w:p>
        </w:tc>
        <w:tc>
          <w:tcPr>
            <w:tcW w:w="175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二级</w:t>
            </w:r>
          </w:p>
        </w:tc>
        <w:tc>
          <w:tcPr>
            <w:tcW w:w="1416" w:type="dxa"/>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8</w:t>
            </w:r>
          </w:p>
        </w:tc>
        <w:tc>
          <w:tcPr>
            <w:tcW w:w="90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X153</w:t>
            </w:r>
          </w:p>
        </w:tc>
        <w:tc>
          <w:tcPr>
            <w:tcW w:w="1595"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和凤</w:t>
            </w:r>
          </w:p>
        </w:tc>
        <w:tc>
          <w:tcPr>
            <w:tcW w:w="127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高淳界</w:t>
            </w:r>
          </w:p>
        </w:tc>
        <w:tc>
          <w:tcPr>
            <w:tcW w:w="136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2.43</w:t>
            </w:r>
          </w:p>
        </w:tc>
        <w:tc>
          <w:tcPr>
            <w:tcW w:w="175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一级</w:t>
            </w:r>
          </w:p>
        </w:tc>
        <w:tc>
          <w:tcPr>
            <w:tcW w:w="1416" w:type="dxa"/>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9</w:t>
            </w:r>
          </w:p>
        </w:tc>
        <w:tc>
          <w:tcPr>
            <w:tcW w:w="90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X154</w:t>
            </w:r>
          </w:p>
        </w:tc>
        <w:tc>
          <w:tcPr>
            <w:tcW w:w="1595"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柘塘</w:t>
            </w:r>
          </w:p>
        </w:tc>
        <w:tc>
          <w:tcPr>
            <w:tcW w:w="127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十里牌</w:t>
            </w:r>
          </w:p>
        </w:tc>
        <w:tc>
          <w:tcPr>
            <w:tcW w:w="136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14.967</w:t>
            </w:r>
          </w:p>
        </w:tc>
        <w:tc>
          <w:tcPr>
            <w:tcW w:w="175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二级</w:t>
            </w:r>
          </w:p>
        </w:tc>
        <w:tc>
          <w:tcPr>
            <w:tcW w:w="1416"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2017</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10</w:t>
            </w:r>
          </w:p>
        </w:tc>
        <w:tc>
          <w:tcPr>
            <w:tcW w:w="90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X155</w:t>
            </w:r>
          </w:p>
        </w:tc>
        <w:tc>
          <w:tcPr>
            <w:tcW w:w="1595"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联民</w:t>
            </w:r>
          </w:p>
        </w:tc>
        <w:tc>
          <w:tcPr>
            <w:tcW w:w="127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徐母塘</w:t>
            </w:r>
          </w:p>
        </w:tc>
        <w:tc>
          <w:tcPr>
            <w:tcW w:w="136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2.635</w:t>
            </w:r>
          </w:p>
        </w:tc>
        <w:tc>
          <w:tcPr>
            <w:tcW w:w="175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二级</w:t>
            </w:r>
          </w:p>
        </w:tc>
        <w:tc>
          <w:tcPr>
            <w:tcW w:w="1416" w:type="dxa"/>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11</w:t>
            </w:r>
          </w:p>
        </w:tc>
        <w:tc>
          <w:tcPr>
            <w:tcW w:w="90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X201</w:t>
            </w:r>
          </w:p>
        </w:tc>
        <w:tc>
          <w:tcPr>
            <w:tcW w:w="1595"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句容界（郭庄）</w:t>
            </w:r>
          </w:p>
        </w:tc>
        <w:tc>
          <w:tcPr>
            <w:tcW w:w="127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云合</w:t>
            </w:r>
          </w:p>
        </w:tc>
        <w:tc>
          <w:tcPr>
            <w:tcW w:w="136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55.075</w:t>
            </w:r>
          </w:p>
        </w:tc>
        <w:tc>
          <w:tcPr>
            <w:tcW w:w="175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二级/三级</w:t>
            </w:r>
          </w:p>
        </w:tc>
        <w:tc>
          <w:tcPr>
            <w:tcW w:w="1416"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2014-2019</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12</w:t>
            </w:r>
          </w:p>
        </w:tc>
        <w:tc>
          <w:tcPr>
            <w:tcW w:w="90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X202</w:t>
            </w:r>
          </w:p>
        </w:tc>
        <w:tc>
          <w:tcPr>
            <w:tcW w:w="1595"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和平</w:t>
            </w:r>
          </w:p>
        </w:tc>
        <w:tc>
          <w:tcPr>
            <w:tcW w:w="127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新塘</w:t>
            </w:r>
          </w:p>
        </w:tc>
        <w:tc>
          <w:tcPr>
            <w:tcW w:w="136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23.275</w:t>
            </w:r>
          </w:p>
        </w:tc>
        <w:tc>
          <w:tcPr>
            <w:tcW w:w="175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二级/三级</w:t>
            </w:r>
          </w:p>
        </w:tc>
        <w:tc>
          <w:tcPr>
            <w:tcW w:w="1416"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2014-2017</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13</w:t>
            </w:r>
          </w:p>
        </w:tc>
        <w:tc>
          <w:tcPr>
            <w:tcW w:w="90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X203</w:t>
            </w:r>
          </w:p>
        </w:tc>
        <w:tc>
          <w:tcPr>
            <w:tcW w:w="1595"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句容界（郭庄）</w:t>
            </w:r>
          </w:p>
        </w:tc>
        <w:tc>
          <w:tcPr>
            <w:tcW w:w="127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沈家山</w:t>
            </w:r>
          </w:p>
        </w:tc>
        <w:tc>
          <w:tcPr>
            <w:tcW w:w="136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41.37</w:t>
            </w:r>
          </w:p>
        </w:tc>
        <w:tc>
          <w:tcPr>
            <w:tcW w:w="175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一级/二级/三级</w:t>
            </w:r>
          </w:p>
        </w:tc>
        <w:tc>
          <w:tcPr>
            <w:tcW w:w="1416"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2015-2020</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14</w:t>
            </w:r>
          </w:p>
        </w:tc>
        <w:tc>
          <w:tcPr>
            <w:tcW w:w="90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X204</w:t>
            </w:r>
          </w:p>
        </w:tc>
        <w:tc>
          <w:tcPr>
            <w:tcW w:w="1595"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宁高线</w:t>
            </w:r>
          </w:p>
        </w:tc>
        <w:tc>
          <w:tcPr>
            <w:tcW w:w="127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电器厂</w:t>
            </w:r>
          </w:p>
        </w:tc>
        <w:tc>
          <w:tcPr>
            <w:tcW w:w="136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3.077</w:t>
            </w:r>
          </w:p>
        </w:tc>
        <w:tc>
          <w:tcPr>
            <w:tcW w:w="175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二级</w:t>
            </w:r>
          </w:p>
        </w:tc>
        <w:tc>
          <w:tcPr>
            <w:tcW w:w="1416" w:type="dxa"/>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15</w:t>
            </w:r>
          </w:p>
        </w:tc>
        <w:tc>
          <w:tcPr>
            <w:tcW w:w="90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X205</w:t>
            </w:r>
          </w:p>
        </w:tc>
        <w:tc>
          <w:tcPr>
            <w:tcW w:w="1595"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福田</w:t>
            </w:r>
          </w:p>
        </w:tc>
        <w:tc>
          <w:tcPr>
            <w:tcW w:w="127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向阳</w:t>
            </w:r>
          </w:p>
        </w:tc>
        <w:tc>
          <w:tcPr>
            <w:tcW w:w="136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22.051</w:t>
            </w:r>
          </w:p>
        </w:tc>
        <w:tc>
          <w:tcPr>
            <w:tcW w:w="175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三级</w:t>
            </w:r>
          </w:p>
        </w:tc>
        <w:tc>
          <w:tcPr>
            <w:tcW w:w="1416"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2015-2017</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16</w:t>
            </w:r>
          </w:p>
        </w:tc>
        <w:tc>
          <w:tcPr>
            <w:tcW w:w="90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X251</w:t>
            </w:r>
          </w:p>
        </w:tc>
        <w:tc>
          <w:tcPr>
            <w:tcW w:w="1595"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孙家</w:t>
            </w:r>
          </w:p>
        </w:tc>
        <w:tc>
          <w:tcPr>
            <w:tcW w:w="127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藕丝堰</w:t>
            </w:r>
          </w:p>
        </w:tc>
        <w:tc>
          <w:tcPr>
            <w:tcW w:w="136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29.529</w:t>
            </w:r>
          </w:p>
        </w:tc>
        <w:tc>
          <w:tcPr>
            <w:tcW w:w="175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三级</w:t>
            </w:r>
          </w:p>
        </w:tc>
        <w:tc>
          <w:tcPr>
            <w:tcW w:w="1416"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2016</w:t>
            </w:r>
            <w:r>
              <w:rPr>
                <w:rFonts w:hint="eastAsia" w:ascii="Times New Roman" w:hAnsi="Times New Roman" w:eastAsia="楷体"/>
                <w:kern w:val="4"/>
                <w:sz w:val="21"/>
                <w:szCs w:val="21"/>
              </w:rPr>
              <w:t>-2017</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17</w:t>
            </w:r>
          </w:p>
        </w:tc>
        <w:tc>
          <w:tcPr>
            <w:tcW w:w="90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X252</w:t>
            </w:r>
          </w:p>
        </w:tc>
        <w:tc>
          <w:tcPr>
            <w:tcW w:w="1595"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三星</w:t>
            </w:r>
          </w:p>
        </w:tc>
        <w:tc>
          <w:tcPr>
            <w:tcW w:w="127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高淳界</w:t>
            </w:r>
          </w:p>
        </w:tc>
        <w:tc>
          <w:tcPr>
            <w:tcW w:w="136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11.288</w:t>
            </w:r>
          </w:p>
        </w:tc>
        <w:tc>
          <w:tcPr>
            <w:tcW w:w="175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一级</w:t>
            </w:r>
          </w:p>
        </w:tc>
        <w:tc>
          <w:tcPr>
            <w:tcW w:w="1416" w:type="dxa"/>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18</w:t>
            </w:r>
          </w:p>
        </w:tc>
        <w:tc>
          <w:tcPr>
            <w:tcW w:w="90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X301</w:t>
            </w:r>
          </w:p>
        </w:tc>
        <w:tc>
          <w:tcPr>
            <w:tcW w:w="1595"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和平</w:t>
            </w:r>
          </w:p>
        </w:tc>
        <w:tc>
          <w:tcPr>
            <w:tcW w:w="127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江宁界</w:t>
            </w:r>
          </w:p>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（共和）</w:t>
            </w:r>
          </w:p>
        </w:tc>
        <w:tc>
          <w:tcPr>
            <w:tcW w:w="136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19.054</w:t>
            </w:r>
          </w:p>
        </w:tc>
        <w:tc>
          <w:tcPr>
            <w:tcW w:w="175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二级/三级</w:t>
            </w:r>
          </w:p>
        </w:tc>
        <w:tc>
          <w:tcPr>
            <w:tcW w:w="1416"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2014-2019</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19</w:t>
            </w:r>
          </w:p>
        </w:tc>
        <w:tc>
          <w:tcPr>
            <w:tcW w:w="90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X302</w:t>
            </w:r>
          </w:p>
        </w:tc>
        <w:tc>
          <w:tcPr>
            <w:tcW w:w="1595"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白鹿</w:t>
            </w:r>
          </w:p>
        </w:tc>
        <w:tc>
          <w:tcPr>
            <w:tcW w:w="127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石湫</w:t>
            </w:r>
          </w:p>
        </w:tc>
        <w:tc>
          <w:tcPr>
            <w:tcW w:w="136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16.791</w:t>
            </w:r>
          </w:p>
        </w:tc>
        <w:tc>
          <w:tcPr>
            <w:tcW w:w="175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二级/三级</w:t>
            </w:r>
          </w:p>
        </w:tc>
        <w:tc>
          <w:tcPr>
            <w:tcW w:w="1416"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2019</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w:t>
            </w:r>
          </w:p>
        </w:tc>
        <w:tc>
          <w:tcPr>
            <w:tcW w:w="90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X303</w:t>
            </w:r>
          </w:p>
        </w:tc>
        <w:tc>
          <w:tcPr>
            <w:tcW w:w="1595"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溧东大道</w:t>
            </w:r>
          </w:p>
        </w:tc>
        <w:tc>
          <w:tcPr>
            <w:tcW w:w="127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永阳镇</w:t>
            </w:r>
          </w:p>
        </w:tc>
        <w:tc>
          <w:tcPr>
            <w:tcW w:w="136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14.283</w:t>
            </w:r>
          </w:p>
        </w:tc>
        <w:tc>
          <w:tcPr>
            <w:tcW w:w="175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一级/二级/三级</w:t>
            </w:r>
          </w:p>
        </w:tc>
        <w:tc>
          <w:tcPr>
            <w:tcW w:w="1416"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2015-2016</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21</w:t>
            </w:r>
          </w:p>
        </w:tc>
        <w:tc>
          <w:tcPr>
            <w:tcW w:w="90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X304</w:t>
            </w:r>
          </w:p>
        </w:tc>
        <w:tc>
          <w:tcPr>
            <w:tcW w:w="1595"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句容界</w:t>
            </w:r>
          </w:p>
        </w:tc>
        <w:tc>
          <w:tcPr>
            <w:tcW w:w="127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横山</w:t>
            </w:r>
          </w:p>
        </w:tc>
        <w:tc>
          <w:tcPr>
            <w:tcW w:w="136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24.647</w:t>
            </w:r>
          </w:p>
        </w:tc>
        <w:tc>
          <w:tcPr>
            <w:tcW w:w="175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一级/二级/三级</w:t>
            </w:r>
          </w:p>
        </w:tc>
        <w:tc>
          <w:tcPr>
            <w:tcW w:w="1416"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2015-2017</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22</w:t>
            </w:r>
          </w:p>
        </w:tc>
        <w:tc>
          <w:tcPr>
            <w:tcW w:w="90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X305</w:t>
            </w:r>
          </w:p>
        </w:tc>
        <w:tc>
          <w:tcPr>
            <w:tcW w:w="1595"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石头寨</w:t>
            </w:r>
          </w:p>
        </w:tc>
        <w:tc>
          <w:tcPr>
            <w:tcW w:w="127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蒲塘</w:t>
            </w:r>
          </w:p>
        </w:tc>
        <w:tc>
          <w:tcPr>
            <w:tcW w:w="136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25.34</w:t>
            </w:r>
          </w:p>
        </w:tc>
        <w:tc>
          <w:tcPr>
            <w:tcW w:w="175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二级/三级</w:t>
            </w:r>
          </w:p>
        </w:tc>
        <w:tc>
          <w:tcPr>
            <w:tcW w:w="1416"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2014-2016</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23</w:t>
            </w:r>
          </w:p>
        </w:tc>
        <w:tc>
          <w:tcPr>
            <w:tcW w:w="90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X306</w:t>
            </w:r>
          </w:p>
        </w:tc>
        <w:tc>
          <w:tcPr>
            <w:tcW w:w="1595"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石头寨</w:t>
            </w:r>
          </w:p>
        </w:tc>
        <w:tc>
          <w:tcPr>
            <w:tcW w:w="127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孔镇</w:t>
            </w:r>
          </w:p>
        </w:tc>
        <w:tc>
          <w:tcPr>
            <w:tcW w:w="136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17.34</w:t>
            </w:r>
          </w:p>
        </w:tc>
        <w:tc>
          <w:tcPr>
            <w:tcW w:w="175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三级</w:t>
            </w:r>
          </w:p>
        </w:tc>
        <w:tc>
          <w:tcPr>
            <w:tcW w:w="1416"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2018</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24</w:t>
            </w:r>
          </w:p>
        </w:tc>
        <w:tc>
          <w:tcPr>
            <w:tcW w:w="90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X307</w:t>
            </w:r>
          </w:p>
        </w:tc>
        <w:tc>
          <w:tcPr>
            <w:tcW w:w="1595"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上沛</w:t>
            </w:r>
          </w:p>
        </w:tc>
        <w:tc>
          <w:tcPr>
            <w:tcW w:w="127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沙塘互通</w:t>
            </w:r>
          </w:p>
        </w:tc>
        <w:tc>
          <w:tcPr>
            <w:tcW w:w="136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16.153</w:t>
            </w:r>
          </w:p>
        </w:tc>
        <w:tc>
          <w:tcPr>
            <w:tcW w:w="175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二级/三级</w:t>
            </w:r>
          </w:p>
        </w:tc>
        <w:tc>
          <w:tcPr>
            <w:tcW w:w="1416"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2015-2016</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25</w:t>
            </w:r>
          </w:p>
        </w:tc>
        <w:tc>
          <w:tcPr>
            <w:tcW w:w="90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X351</w:t>
            </w:r>
          </w:p>
        </w:tc>
        <w:tc>
          <w:tcPr>
            <w:tcW w:w="1595"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观山</w:t>
            </w:r>
          </w:p>
        </w:tc>
        <w:tc>
          <w:tcPr>
            <w:tcW w:w="127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宁高线</w:t>
            </w:r>
          </w:p>
        </w:tc>
        <w:tc>
          <w:tcPr>
            <w:tcW w:w="136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9.694</w:t>
            </w:r>
          </w:p>
        </w:tc>
        <w:tc>
          <w:tcPr>
            <w:tcW w:w="175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三级</w:t>
            </w:r>
          </w:p>
        </w:tc>
        <w:tc>
          <w:tcPr>
            <w:tcW w:w="1416"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2019</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26</w:t>
            </w:r>
          </w:p>
        </w:tc>
        <w:tc>
          <w:tcPr>
            <w:tcW w:w="90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X352</w:t>
            </w:r>
          </w:p>
        </w:tc>
        <w:tc>
          <w:tcPr>
            <w:tcW w:w="1595"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张家</w:t>
            </w:r>
          </w:p>
        </w:tc>
        <w:tc>
          <w:tcPr>
            <w:tcW w:w="127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宁高线</w:t>
            </w:r>
          </w:p>
        </w:tc>
        <w:tc>
          <w:tcPr>
            <w:tcW w:w="136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5.596</w:t>
            </w:r>
          </w:p>
        </w:tc>
        <w:tc>
          <w:tcPr>
            <w:tcW w:w="175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三级</w:t>
            </w:r>
          </w:p>
        </w:tc>
        <w:tc>
          <w:tcPr>
            <w:tcW w:w="1416"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2020</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27</w:t>
            </w:r>
          </w:p>
        </w:tc>
        <w:tc>
          <w:tcPr>
            <w:tcW w:w="90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X353</w:t>
            </w:r>
          </w:p>
        </w:tc>
        <w:tc>
          <w:tcPr>
            <w:tcW w:w="1595"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唐邵</w:t>
            </w:r>
          </w:p>
        </w:tc>
        <w:tc>
          <w:tcPr>
            <w:tcW w:w="127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张家</w:t>
            </w:r>
          </w:p>
        </w:tc>
        <w:tc>
          <w:tcPr>
            <w:tcW w:w="136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6.82</w:t>
            </w:r>
          </w:p>
        </w:tc>
        <w:tc>
          <w:tcPr>
            <w:tcW w:w="175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三级</w:t>
            </w:r>
          </w:p>
        </w:tc>
        <w:tc>
          <w:tcPr>
            <w:tcW w:w="1416"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2020</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38" w:type="dxa"/>
            <w:gridSpan w:val="4"/>
            <w:tcBorders>
              <w:bottom w:val="double" w:color="auto" w:sz="4" w:space="0"/>
            </w:tcBorders>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合计</w:t>
            </w:r>
          </w:p>
        </w:tc>
        <w:tc>
          <w:tcPr>
            <w:tcW w:w="1361" w:type="dxa"/>
            <w:tcBorders>
              <w:bottom w:val="double" w:color="auto" w:sz="4" w:space="0"/>
            </w:tcBorders>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431.823</w:t>
            </w:r>
          </w:p>
        </w:tc>
        <w:tc>
          <w:tcPr>
            <w:tcW w:w="1757" w:type="dxa"/>
            <w:tcBorders>
              <w:bottom w:val="double" w:color="auto" w:sz="4" w:space="0"/>
            </w:tcBorders>
            <w:vAlign w:val="center"/>
          </w:tcPr>
          <w:p>
            <w:pPr>
              <w:widowControl/>
              <w:autoSpaceDE/>
              <w:autoSpaceDN/>
              <w:ind w:firstLine="0" w:firstLineChars="0"/>
              <w:jc w:val="center"/>
              <w:rPr>
                <w:rFonts w:ascii="Times New Roman" w:hAnsi="Times New Roman" w:eastAsia="楷体"/>
                <w:kern w:val="4"/>
                <w:sz w:val="21"/>
                <w:szCs w:val="21"/>
              </w:rPr>
            </w:pPr>
          </w:p>
        </w:tc>
        <w:tc>
          <w:tcPr>
            <w:tcW w:w="1416" w:type="dxa"/>
            <w:tcBorders>
              <w:bottom w:val="double" w:color="auto" w:sz="4" w:space="0"/>
            </w:tcBorders>
            <w:vAlign w:val="center"/>
          </w:tcPr>
          <w:p>
            <w:pPr>
              <w:widowControl/>
              <w:autoSpaceDE/>
              <w:autoSpaceDN/>
              <w:ind w:firstLine="0" w:firstLineChars="0"/>
              <w:jc w:val="center"/>
              <w:rPr>
                <w:rFonts w:ascii="Times New Roman" w:hAnsi="Times New Roman" w:eastAsia="楷体"/>
                <w:kern w:val="4"/>
                <w:sz w:val="21"/>
                <w:szCs w:val="21"/>
              </w:rPr>
            </w:pPr>
          </w:p>
        </w:tc>
      </w:tr>
      <w:bookmarkEnd w:id="37"/>
    </w:tbl>
    <w:p>
      <w:pPr>
        <w:spacing w:beforeLines="50"/>
        <w:ind w:firstLine="0" w:firstLineChars="0"/>
        <w:jc w:val="center"/>
        <w:rPr>
          <w:rFonts w:ascii="Times New Roman" w:hAnsi="Times New Roman" w:eastAsia="黑体"/>
          <w:kern w:val="4"/>
          <w:sz w:val="30"/>
          <w:szCs w:val="30"/>
        </w:rPr>
      </w:pPr>
      <w:bookmarkStart w:id="38" w:name="_Toc430076909"/>
      <w:r>
        <w:rPr>
          <w:rFonts w:ascii="Times New Roman" w:hAnsi="Times New Roman" w:eastAsia="黑体"/>
          <w:kern w:val="4"/>
          <w:sz w:val="30"/>
          <w:szCs w:val="30"/>
        </w:rPr>
        <w:drawing>
          <wp:inline distT="0" distB="0" distL="0" distR="0">
            <wp:extent cx="5377180" cy="3821430"/>
            <wp:effectExtent l="0" t="0" r="0" b="7620"/>
            <wp:docPr id="10" name="图片 6" descr="溧水县道网规划图（2014-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溧水县道网规划图（2014-20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5377180" cy="3821430"/>
                    </a:xfrm>
                    <a:prstGeom prst="rect">
                      <a:avLst/>
                    </a:prstGeom>
                    <a:noFill/>
                    <a:ln>
                      <a:noFill/>
                    </a:ln>
                  </pic:spPr>
                </pic:pic>
              </a:graphicData>
            </a:graphic>
          </wp:inline>
        </w:drawing>
      </w:r>
    </w:p>
    <w:p>
      <w:pPr>
        <w:ind w:firstLine="0" w:firstLineChars="0"/>
        <w:jc w:val="center"/>
        <w:rPr>
          <w:rFonts w:ascii="Times New Roman" w:hAnsi="Times New Roman" w:eastAsia="黑体"/>
          <w:bCs/>
          <w:kern w:val="4"/>
          <w:sz w:val="24"/>
        </w:rPr>
      </w:pPr>
      <w:r>
        <w:rPr>
          <w:rFonts w:ascii="Times New Roman" w:hAnsi="Times New Roman" w:eastAsia="黑体"/>
          <w:bCs/>
          <w:kern w:val="4"/>
          <w:sz w:val="24"/>
        </w:rPr>
        <w:t>图4-3溧水区县道公路网规划布局图</w:t>
      </w:r>
    </w:p>
    <w:p>
      <w:pPr>
        <w:spacing w:afterLines="50" w:line="560" w:lineRule="exact"/>
        <w:ind w:firstLine="602"/>
        <w:rPr>
          <w:rFonts w:ascii="Times New Roman" w:hAnsi="Times New Roman" w:eastAsia="仿宋_GB2312"/>
          <w:kern w:val="4"/>
          <w:sz w:val="30"/>
          <w:szCs w:val="30"/>
        </w:rPr>
      </w:pPr>
      <w:r>
        <w:rPr>
          <w:rFonts w:hint="eastAsia" w:ascii="Times New Roman" w:hAnsi="Times New Roman" w:eastAsia="仿宋_GB2312"/>
          <w:b/>
          <w:kern w:val="4"/>
          <w:sz w:val="30"/>
          <w:szCs w:val="30"/>
        </w:rPr>
        <w:t>——继续加大乡村道单车道拓宽工程</w:t>
      </w:r>
      <w:r>
        <w:rPr>
          <w:rFonts w:ascii="Times New Roman" w:hAnsi="Times New Roman" w:eastAsia="仿宋_GB2312"/>
          <w:b/>
          <w:kern w:val="4"/>
          <w:sz w:val="30"/>
          <w:szCs w:val="30"/>
        </w:rPr>
        <w:t>建设</w:t>
      </w:r>
      <w:r>
        <w:rPr>
          <w:rFonts w:hint="eastAsia" w:ascii="Times New Roman" w:hAnsi="Times New Roman" w:eastAsia="仿宋_GB2312"/>
          <w:b/>
          <w:kern w:val="4"/>
          <w:sz w:val="30"/>
          <w:szCs w:val="30"/>
        </w:rPr>
        <w:t>，加强四、五类危桥改造力度。</w:t>
      </w:r>
      <w:r>
        <w:rPr>
          <w:rFonts w:ascii="Times New Roman" w:hAnsi="Times New Roman" w:eastAsia="仿宋_GB2312"/>
          <w:kern w:val="4"/>
          <w:sz w:val="30"/>
          <w:szCs w:val="30"/>
        </w:rPr>
        <w:t>保障镇村公交、校车、城乡客运班车安全</w:t>
      </w:r>
      <w:r>
        <w:rPr>
          <w:rFonts w:hint="eastAsia" w:ascii="Times New Roman" w:hAnsi="Times New Roman" w:eastAsia="仿宋_GB2312"/>
          <w:kern w:val="4"/>
          <w:sz w:val="30"/>
          <w:szCs w:val="30"/>
        </w:rPr>
        <w:t>运行</w:t>
      </w:r>
      <w:r>
        <w:rPr>
          <w:rFonts w:ascii="Times New Roman" w:hAnsi="Times New Roman" w:eastAsia="仿宋_GB2312"/>
          <w:kern w:val="4"/>
          <w:sz w:val="30"/>
          <w:szCs w:val="30"/>
        </w:rPr>
        <w:t>，进一步提升农村公路通畅水平。</w:t>
      </w:r>
      <w:r>
        <w:rPr>
          <w:rFonts w:hint="eastAsia" w:ascii="Times New Roman" w:hAnsi="Times New Roman" w:eastAsia="仿宋_GB2312"/>
          <w:kern w:val="4"/>
          <w:sz w:val="30"/>
          <w:szCs w:val="30"/>
        </w:rPr>
        <w:t>到</w:t>
      </w:r>
      <w:r>
        <w:rPr>
          <w:rFonts w:ascii="Times New Roman" w:hAnsi="Times New Roman" w:eastAsia="仿宋_GB2312"/>
          <w:kern w:val="4"/>
          <w:sz w:val="30"/>
          <w:szCs w:val="30"/>
        </w:rPr>
        <w:t>2018</w:t>
      </w:r>
      <w:r>
        <w:rPr>
          <w:rFonts w:hint="eastAsia" w:ascii="Times New Roman" w:hAnsi="Times New Roman" w:eastAsia="仿宋_GB2312"/>
          <w:kern w:val="4"/>
          <w:sz w:val="30"/>
          <w:szCs w:val="30"/>
        </w:rPr>
        <w:t>年，乡村道双车道公路比例不低于38</w:t>
      </w:r>
      <w:r>
        <w:rPr>
          <w:rFonts w:ascii="Times New Roman" w:hAnsi="Times New Roman" w:eastAsia="仿宋_GB2312"/>
          <w:kern w:val="4"/>
          <w:sz w:val="30"/>
          <w:szCs w:val="30"/>
        </w:rPr>
        <w:t>%</w:t>
      </w:r>
      <w:r>
        <w:rPr>
          <w:rFonts w:hint="eastAsia" w:ascii="Times New Roman" w:hAnsi="Times New Roman" w:eastAsia="仿宋_GB2312"/>
          <w:kern w:val="4"/>
          <w:sz w:val="30"/>
          <w:szCs w:val="30"/>
        </w:rPr>
        <w:t>，三级以上农村</w:t>
      </w:r>
      <w:r>
        <w:rPr>
          <w:rFonts w:ascii="Times New Roman" w:hAnsi="Times New Roman" w:eastAsia="仿宋_GB2312"/>
          <w:kern w:val="4"/>
          <w:sz w:val="30"/>
          <w:szCs w:val="30"/>
        </w:rPr>
        <w:t>公路</w:t>
      </w:r>
      <w:r>
        <w:rPr>
          <w:rFonts w:hint="eastAsia" w:ascii="Times New Roman" w:hAnsi="Times New Roman" w:eastAsia="仿宋_GB2312"/>
          <w:kern w:val="4"/>
          <w:sz w:val="30"/>
          <w:szCs w:val="30"/>
        </w:rPr>
        <w:t>比例不低于30</w:t>
      </w:r>
      <w:r>
        <w:rPr>
          <w:rFonts w:ascii="Times New Roman" w:hAnsi="Times New Roman" w:eastAsia="仿宋_GB2312"/>
          <w:kern w:val="4"/>
          <w:sz w:val="30"/>
          <w:szCs w:val="30"/>
        </w:rPr>
        <w:t>%</w:t>
      </w:r>
      <w:r>
        <w:rPr>
          <w:rFonts w:hint="eastAsia" w:ascii="Times New Roman" w:hAnsi="Times New Roman" w:eastAsia="仿宋_GB2312"/>
          <w:kern w:val="4"/>
          <w:sz w:val="30"/>
          <w:szCs w:val="30"/>
        </w:rPr>
        <w:t>，行政</w:t>
      </w:r>
      <w:r>
        <w:rPr>
          <w:rFonts w:ascii="Times New Roman" w:hAnsi="Times New Roman" w:eastAsia="仿宋_GB2312"/>
          <w:kern w:val="4"/>
          <w:sz w:val="30"/>
          <w:szCs w:val="30"/>
        </w:rPr>
        <w:t>村</w:t>
      </w:r>
      <w:r>
        <w:rPr>
          <w:rFonts w:hint="eastAsia" w:ascii="Times New Roman" w:hAnsi="Times New Roman" w:eastAsia="仿宋_GB2312"/>
          <w:kern w:val="4"/>
          <w:sz w:val="30"/>
          <w:szCs w:val="30"/>
        </w:rPr>
        <w:t>通双</w:t>
      </w:r>
      <w:r>
        <w:rPr>
          <w:rFonts w:ascii="Times New Roman" w:hAnsi="Times New Roman" w:eastAsia="仿宋_GB2312"/>
          <w:kern w:val="4"/>
          <w:sz w:val="30"/>
          <w:szCs w:val="30"/>
        </w:rPr>
        <w:t>车道</w:t>
      </w:r>
      <w:r>
        <w:rPr>
          <w:rFonts w:hint="eastAsia" w:ascii="Times New Roman" w:hAnsi="Times New Roman" w:eastAsia="仿宋_GB2312"/>
          <w:kern w:val="4"/>
          <w:sz w:val="30"/>
          <w:szCs w:val="30"/>
        </w:rPr>
        <w:t>公路</w:t>
      </w:r>
      <w:r>
        <w:rPr>
          <w:rFonts w:ascii="Times New Roman" w:hAnsi="Times New Roman" w:eastAsia="仿宋_GB2312"/>
          <w:kern w:val="4"/>
          <w:sz w:val="30"/>
          <w:szCs w:val="30"/>
        </w:rPr>
        <w:t>占比</w:t>
      </w:r>
      <w:r>
        <w:rPr>
          <w:rFonts w:hint="eastAsia" w:ascii="Times New Roman" w:hAnsi="Times New Roman" w:eastAsia="仿宋_GB2312"/>
          <w:kern w:val="4"/>
          <w:sz w:val="30"/>
          <w:szCs w:val="30"/>
        </w:rPr>
        <w:t>不低于90</w:t>
      </w:r>
      <w:r>
        <w:rPr>
          <w:rFonts w:ascii="Times New Roman" w:hAnsi="Times New Roman" w:eastAsia="仿宋_GB2312"/>
          <w:kern w:val="4"/>
          <w:sz w:val="30"/>
          <w:szCs w:val="30"/>
        </w:rPr>
        <w:t>%</w:t>
      </w:r>
      <w:r>
        <w:rPr>
          <w:rFonts w:hint="eastAsia" w:ascii="Times New Roman" w:hAnsi="Times New Roman" w:eastAsia="仿宋_GB2312"/>
          <w:kern w:val="4"/>
          <w:sz w:val="30"/>
          <w:szCs w:val="30"/>
        </w:rPr>
        <w:t>。</w:t>
      </w:r>
    </w:p>
    <w:p>
      <w:pPr>
        <w:spacing w:line="560" w:lineRule="exact"/>
        <w:ind w:firstLine="602"/>
        <w:rPr>
          <w:rFonts w:ascii="Times New Roman" w:hAnsi="Times New Roman" w:eastAsia="仿宋_GB2312"/>
          <w:kern w:val="4"/>
          <w:sz w:val="30"/>
          <w:szCs w:val="30"/>
        </w:rPr>
      </w:pPr>
      <w:r>
        <w:rPr>
          <w:rFonts w:hint="eastAsia" w:ascii="Times New Roman" w:hAnsi="Times New Roman" w:eastAsia="仿宋_GB2312"/>
          <w:b/>
          <w:kern w:val="4"/>
          <w:sz w:val="30"/>
          <w:szCs w:val="30"/>
        </w:rPr>
        <w:t>——继续完善农村公路安保设施。</w:t>
      </w:r>
      <w:r>
        <w:rPr>
          <w:rFonts w:ascii="Times New Roman" w:hAnsi="Times New Roman" w:eastAsia="仿宋_GB2312"/>
          <w:kern w:val="4"/>
          <w:sz w:val="30"/>
          <w:szCs w:val="30"/>
        </w:rPr>
        <w:t>重点做好沿河、急弯陡坡、平交道口、集镇、视线不良等危险路段的安保工程建设</w:t>
      </w:r>
      <w:r>
        <w:rPr>
          <w:rFonts w:hint="eastAsia" w:ascii="Times New Roman" w:hAnsi="Times New Roman" w:eastAsia="仿宋_GB2312"/>
          <w:kern w:val="4"/>
          <w:sz w:val="30"/>
          <w:szCs w:val="30"/>
        </w:rPr>
        <w:t>。</w:t>
      </w:r>
      <w:r>
        <w:rPr>
          <w:rFonts w:ascii="Times New Roman" w:hAnsi="Times New Roman" w:eastAsia="仿宋_GB2312"/>
          <w:kern w:val="4"/>
          <w:sz w:val="30"/>
          <w:szCs w:val="30"/>
        </w:rPr>
        <w:t>“十三五”期间，</w:t>
      </w:r>
      <w:r>
        <w:rPr>
          <w:rFonts w:hint="eastAsia" w:ascii="Times New Roman" w:hAnsi="Times New Roman" w:eastAsia="仿宋_GB2312"/>
          <w:kern w:val="4"/>
          <w:sz w:val="30"/>
          <w:szCs w:val="30"/>
        </w:rPr>
        <w:t>进一步提高</w:t>
      </w:r>
      <w:r>
        <w:rPr>
          <w:rFonts w:ascii="Times New Roman" w:hAnsi="Times New Roman" w:eastAsia="仿宋_GB2312"/>
          <w:kern w:val="4"/>
          <w:sz w:val="30"/>
          <w:szCs w:val="30"/>
        </w:rPr>
        <w:t>道路的通行能力，保障镇村公交及城乡客运班车的安全通行。</w:t>
      </w:r>
    </w:p>
    <w:p>
      <w:pPr>
        <w:spacing w:line="560" w:lineRule="exact"/>
        <w:ind w:firstLine="600"/>
        <w:rPr>
          <w:rFonts w:ascii="Times New Roman" w:hAnsi="Times New Roman" w:eastAsia="仿宋_GB2312"/>
          <w:kern w:val="4"/>
          <w:sz w:val="30"/>
          <w:szCs w:val="30"/>
        </w:rPr>
      </w:pPr>
    </w:p>
    <w:p>
      <w:pPr>
        <w:spacing w:line="720" w:lineRule="exact"/>
        <w:ind w:firstLine="600"/>
        <w:outlineLvl w:val="3"/>
        <w:rPr>
          <w:rFonts w:ascii="Times New Roman" w:hAnsi="Times New Roman" w:eastAsia="黑体"/>
          <w:kern w:val="4"/>
          <w:sz w:val="30"/>
          <w:szCs w:val="30"/>
        </w:rPr>
      </w:pPr>
      <w:bookmarkStart w:id="39" w:name="_Toc438123198"/>
      <w:r>
        <w:rPr>
          <w:rFonts w:hint="eastAsia" w:ascii="Times New Roman" w:hAnsi="Times New Roman" w:eastAsia="黑体"/>
          <w:kern w:val="4"/>
          <w:sz w:val="30"/>
          <w:szCs w:val="30"/>
        </w:rPr>
        <w:t>（二）</w:t>
      </w:r>
      <w:r>
        <w:rPr>
          <w:rFonts w:ascii="Times New Roman" w:hAnsi="Times New Roman" w:eastAsia="黑体"/>
          <w:kern w:val="4"/>
          <w:sz w:val="30"/>
          <w:szCs w:val="30"/>
        </w:rPr>
        <w:t>大力推进内河水运发展</w:t>
      </w:r>
      <w:bookmarkEnd w:id="38"/>
      <w:bookmarkEnd w:id="39"/>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充分发挥内河水运在交通运输上的优势，以加快重点航道等级提升，建设一批专业化、集约化的港口码头为重点，坚持政府主导与市场运行相结合，切实加大财政建设投入和招商引资力度，积极推动船型大型化和标准化进程，依靠科技进步，不断加强管理，创新发展理念</w:t>
      </w:r>
      <w:r>
        <w:rPr>
          <w:rFonts w:hint="eastAsia" w:ascii="Times New Roman" w:hAnsi="Times New Roman" w:eastAsia="仿宋_GB2312"/>
          <w:kern w:val="4"/>
          <w:sz w:val="30"/>
          <w:szCs w:val="30"/>
        </w:rPr>
        <w:t>。同时</w:t>
      </w:r>
      <w:r>
        <w:rPr>
          <w:rFonts w:ascii="Times New Roman" w:hAnsi="Times New Roman" w:eastAsia="仿宋_GB2312"/>
          <w:kern w:val="4"/>
          <w:sz w:val="30"/>
          <w:szCs w:val="30"/>
        </w:rPr>
        <w:t>，</w:t>
      </w:r>
      <w:r>
        <w:rPr>
          <w:rFonts w:hint="eastAsia" w:ascii="Times New Roman" w:hAnsi="Times New Roman" w:eastAsia="仿宋_GB2312"/>
          <w:kern w:val="4"/>
          <w:sz w:val="30"/>
          <w:szCs w:val="30"/>
        </w:rPr>
        <w:t>结合溧水区</w:t>
      </w:r>
      <w:r>
        <w:rPr>
          <w:rFonts w:ascii="Times New Roman" w:hAnsi="Times New Roman" w:eastAsia="仿宋_GB2312"/>
          <w:kern w:val="4"/>
          <w:sz w:val="30"/>
          <w:szCs w:val="30"/>
        </w:rPr>
        <w:t>水上</w:t>
      </w:r>
      <w:r>
        <w:rPr>
          <w:rFonts w:hint="eastAsia" w:ascii="Times New Roman" w:hAnsi="Times New Roman" w:eastAsia="仿宋_GB2312"/>
          <w:kern w:val="4"/>
          <w:sz w:val="30"/>
          <w:szCs w:val="30"/>
        </w:rPr>
        <w:t>旅游资源</w:t>
      </w:r>
      <w:r>
        <w:rPr>
          <w:rFonts w:ascii="Times New Roman" w:hAnsi="Times New Roman" w:eastAsia="仿宋_GB2312"/>
          <w:kern w:val="4"/>
          <w:sz w:val="30"/>
          <w:szCs w:val="30"/>
        </w:rPr>
        <w:t>，</w:t>
      </w:r>
      <w:r>
        <w:rPr>
          <w:rFonts w:hint="eastAsia" w:ascii="Times New Roman" w:hAnsi="Times New Roman" w:eastAsia="仿宋_GB2312"/>
          <w:kern w:val="4"/>
          <w:sz w:val="30"/>
          <w:szCs w:val="30"/>
        </w:rPr>
        <w:t>适时推动旅游</w:t>
      </w:r>
      <w:r>
        <w:rPr>
          <w:rFonts w:ascii="Times New Roman" w:hAnsi="Times New Roman" w:eastAsia="仿宋_GB2312"/>
          <w:kern w:val="4"/>
          <w:sz w:val="30"/>
          <w:szCs w:val="30"/>
        </w:rPr>
        <w:t>码头</w:t>
      </w:r>
      <w:r>
        <w:rPr>
          <w:rFonts w:hint="eastAsia" w:ascii="Times New Roman" w:hAnsi="Times New Roman" w:eastAsia="仿宋_GB2312"/>
          <w:kern w:val="4"/>
          <w:sz w:val="30"/>
          <w:szCs w:val="30"/>
        </w:rPr>
        <w:t>建设</w:t>
      </w:r>
      <w:r>
        <w:rPr>
          <w:rFonts w:ascii="Times New Roman" w:hAnsi="Times New Roman" w:eastAsia="仿宋_GB2312"/>
          <w:kern w:val="4"/>
          <w:sz w:val="30"/>
          <w:szCs w:val="30"/>
        </w:rPr>
        <w:t>。到2020年，建成航道安全畅通、港口布局合理、水陆衔接顺畅的内河水运基础设施新体系，建成开放有序、平安绿色、服务完善的市场服务新体系，建成体制健全、监管有力、公平高效的行业管理新体系，有效降低社会综合运输成本，促进经济社会发展。</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（1）航道</w:t>
      </w:r>
    </w:p>
    <w:p>
      <w:pPr>
        <w:spacing w:line="560" w:lineRule="exact"/>
        <w:ind w:firstLine="602"/>
        <w:rPr>
          <w:rFonts w:ascii="Times New Roman" w:hAnsi="Times New Roman" w:eastAsia="仿宋_GB2312"/>
          <w:kern w:val="4"/>
          <w:sz w:val="30"/>
          <w:szCs w:val="30"/>
        </w:rPr>
      </w:pPr>
      <w:r>
        <w:rPr>
          <w:rFonts w:ascii="Times New Roman" w:hAnsi="Times New Roman" w:eastAsia="仿宋_GB2312"/>
          <w:b/>
          <w:kern w:val="4"/>
          <w:sz w:val="30"/>
          <w:szCs w:val="30"/>
        </w:rPr>
        <w:t>开工并建成秦淮河航道升级改造工程</w:t>
      </w:r>
      <w:r>
        <w:rPr>
          <w:rFonts w:ascii="Times New Roman" w:hAnsi="Times New Roman" w:eastAsia="仿宋_GB2312"/>
          <w:kern w:val="4"/>
          <w:sz w:val="30"/>
          <w:szCs w:val="30"/>
        </w:rPr>
        <w:t>。建成溧水境内46.2公里秦淮河四级航道工程（包括溧水支线），改建、新建桥梁16座，新建船闸1座，建设水上服务区1座，停泊锚地1座。秦淮河航道将成为溧水区首条水上高速通道。项目总投资33.00亿元，建设年限为2015-2020年。</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（2）港口</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加快内河港口基础设施建设。“十三五”期间，按照谁投资谁受益原则，力争开工建设柘塘作业区、洪蓝作业区</w:t>
      </w:r>
      <w:r>
        <w:rPr>
          <w:rFonts w:hint="eastAsia" w:ascii="Times New Roman" w:hAnsi="Times New Roman" w:eastAsia="仿宋_GB2312"/>
          <w:kern w:val="4"/>
          <w:sz w:val="30"/>
          <w:szCs w:val="30"/>
        </w:rPr>
        <w:t>，开展开发区作业区前期工作</w:t>
      </w:r>
      <w:r>
        <w:rPr>
          <w:rFonts w:ascii="Times New Roman" w:hAnsi="Times New Roman" w:eastAsia="仿宋_GB2312"/>
          <w:kern w:val="4"/>
          <w:sz w:val="30"/>
          <w:szCs w:val="30"/>
        </w:rPr>
        <w:t>。泊位建设以500吨位为主，同时加强港口码头集疏运道路建设，大力发展公水联运，提升作业区信息化水平。</w:t>
      </w:r>
    </w:p>
    <w:p>
      <w:pPr>
        <w:spacing w:line="560" w:lineRule="exact"/>
        <w:ind w:firstLine="602"/>
        <w:rPr>
          <w:rFonts w:ascii="Times New Roman" w:hAnsi="Times New Roman" w:eastAsia="仿宋_GB2312"/>
          <w:kern w:val="4"/>
          <w:sz w:val="30"/>
          <w:szCs w:val="30"/>
        </w:rPr>
      </w:pPr>
      <w:r>
        <w:rPr>
          <w:rFonts w:ascii="Times New Roman" w:hAnsi="Times New Roman" w:eastAsia="仿宋_GB2312"/>
          <w:b/>
          <w:kern w:val="4"/>
          <w:sz w:val="30"/>
          <w:szCs w:val="30"/>
        </w:rPr>
        <w:t>——力争开工建设柘塘作业区</w:t>
      </w:r>
      <w:r>
        <w:rPr>
          <w:rFonts w:ascii="Times New Roman" w:hAnsi="Times New Roman" w:eastAsia="仿宋_GB2312"/>
          <w:kern w:val="4"/>
          <w:sz w:val="30"/>
          <w:szCs w:val="30"/>
        </w:rPr>
        <w:t>。柘塘作业区位于秦淮河东侧，柘塘工业园以西。规划布置12个500吨级泊位，设计年吞吐能力300万吨。占用岸线710米，陆域纵深320米，占地约322亩。重点为柘塘工业区、空港新城提供原材料及产成品水上运输服务。</w:t>
      </w:r>
    </w:p>
    <w:p>
      <w:pPr>
        <w:spacing w:line="560" w:lineRule="exact"/>
        <w:ind w:firstLine="602"/>
        <w:rPr>
          <w:rFonts w:ascii="Times New Roman" w:hAnsi="Times New Roman" w:eastAsia="仿宋_GB2312"/>
          <w:kern w:val="4"/>
          <w:sz w:val="30"/>
          <w:szCs w:val="30"/>
        </w:rPr>
      </w:pPr>
      <w:r>
        <w:rPr>
          <w:rFonts w:ascii="Times New Roman" w:hAnsi="Times New Roman" w:eastAsia="仿宋_GB2312"/>
          <w:b/>
          <w:kern w:val="4"/>
          <w:sz w:val="30"/>
          <w:szCs w:val="30"/>
        </w:rPr>
        <w:t>——力争开工建设洪蓝作业区</w:t>
      </w:r>
      <w:r>
        <w:rPr>
          <w:rFonts w:ascii="Times New Roman" w:hAnsi="Times New Roman" w:eastAsia="仿宋_GB2312"/>
          <w:kern w:val="4"/>
          <w:sz w:val="30"/>
          <w:szCs w:val="30"/>
        </w:rPr>
        <w:t>。洪蓝作业区规划位于秦淮河改线段与天生桥河交汇附近毛家村对岸，秦淮河航道左岸（南侧），拟建溧水船闸的上游，是溧水港区内河港口主要作业区。规划顺岸布置14个500吨级泊位（含预留泊位2个），其中4个集装箱泊位，设计年吞吐能力350万吨。码头泊位总长度888米，占用岸线1023米，陆域纵深200米，占地541亩。功能定位为机械设备、汽车零配件及农副产品水上运输、中转、仓储的综合性公用作业区。</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（3）船型标准化</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加快船舶标准化进程。充分利用内河船型标准化等政策机遇，加快老旧船舶更新改造，优化运力结构，鼓励发展标准化、专业化、清洁化和大型化的运输船舶。“十三五”期间，19艘老旧船舶待拆解，49艘需加装生活污水处理装置，完成符合条件的老旧船舶拆解。</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（4）水上服务区</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建设洪蓝水上服务区。以内河港口、船闸为依托，切实改善溧水航道通航秩序，保障船舶航行安全，提高港口装卸效率，减轻水体污染负荷，形成一个集待泊、加油、维修、生活补给、垃圾回收、货运交易于一体的，主次分明、保障有力、服务全面、管理有序的船民、船舶服务体系。</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（5）水上搜救中心</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随着溧水内河船舶大型化标准化逐渐推进，船舶通航密度增大，水上交通环境更加复杂，辖区涉水活动也日益增加，水运经济发展势头强劲。以区政府为主体，成立溧水石臼湖水上搜救中心，加强应急管理工作的现实要求，也是确保水上交通安全的重要举措，更是顺应溧水水运发展需求的战略布局。</w:t>
      </w:r>
    </w:p>
    <w:p>
      <w:pPr>
        <w:spacing w:line="720" w:lineRule="exact"/>
        <w:ind w:firstLine="600"/>
        <w:outlineLvl w:val="3"/>
        <w:rPr>
          <w:rFonts w:ascii="Times New Roman" w:hAnsi="Times New Roman" w:eastAsia="黑体"/>
          <w:kern w:val="4"/>
          <w:sz w:val="30"/>
          <w:szCs w:val="30"/>
        </w:rPr>
      </w:pPr>
      <w:bookmarkStart w:id="40" w:name="_Toc438123199"/>
      <w:r>
        <w:rPr>
          <w:rFonts w:hint="eastAsia" w:ascii="Times New Roman" w:hAnsi="Times New Roman" w:eastAsia="黑体"/>
          <w:kern w:val="4"/>
          <w:sz w:val="30"/>
          <w:szCs w:val="30"/>
        </w:rPr>
        <w:t>（三）</w:t>
      </w:r>
      <w:r>
        <w:rPr>
          <w:rFonts w:ascii="Times New Roman" w:hAnsi="Times New Roman" w:eastAsia="黑体"/>
          <w:kern w:val="4"/>
          <w:sz w:val="30"/>
          <w:szCs w:val="30"/>
        </w:rPr>
        <w:t>大力推进干线铁路研究</w:t>
      </w:r>
      <w:bookmarkEnd w:id="40"/>
    </w:p>
    <w:p>
      <w:pPr>
        <w:spacing w:line="560" w:lineRule="exact"/>
        <w:ind w:firstLine="602"/>
        <w:rPr>
          <w:rFonts w:ascii="Times New Roman" w:hAnsi="Times New Roman" w:eastAsia="仿宋_GB2312"/>
          <w:kern w:val="4"/>
          <w:sz w:val="30"/>
          <w:szCs w:val="30"/>
        </w:rPr>
      </w:pPr>
      <w:r>
        <w:rPr>
          <w:rFonts w:ascii="Times New Roman" w:hAnsi="Times New Roman" w:eastAsia="仿宋_GB2312"/>
          <w:b/>
          <w:kern w:val="4"/>
          <w:sz w:val="30"/>
          <w:szCs w:val="30"/>
        </w:rPr>
        <w:t>加快镇宣</w:t>
      </w:r>
      <w:r>
        <w:rPr>
          <w:rFonts w:hint="eastAsia" w:ascii="Times New Roman" w:hAnsi="Times New Roman" w:eastAsia="仿宋_GB2312"/>
          <w:b/>
          <w:kern w:val="4"/>
          <w:sz w:val="30"/>
          <w:szCs w:val="30"/>
        </w:rPr>
        <w:t>高铁</w:t>
      </w:r>
      <w:r>
        <w:rPr>
          <w:rFonts w:ascii="Times New Roman" w:hAnsi="Times New Roman" w:eastAsia="仿宋_GB2312"/>
          <w:b/>
          <w:kern w:val="4"/>
          <w:sz w:val="30"/>
          <w:szCs w:val="30"/>
        </w:rPr>
        <w:t>（连淮扬镇铁路南延）溧水段线路前期研究</w:t>
      </w:r>
      <w:r>
        <w:rPr>
          <w:rFonts w:ascii="Times New Roman" w:hAnsi="Times New Roman" w:eastAsia="仿宋_GB2312"/>
          <w:kern w:val="4"/>
          <w:sz w:val="30"/>
          <w:szCs w:val="30"/>
        </w:rPr>
        <w:t>。2014年连淮扬镇铁路研究报告获国家发改委批复并开工建设。为进一步沟通华东区域铁路网，构建贯穿苏皖赣三省乃至更大区域的干线通道，连淮扬镇铁路南延提上日程。“十三五”期间，溧水应积极推进镇宣高铁经镇江（句容）、溧水、高淳、宣城线路前期工作，争取在溧水设站。镇宣高铁有利于加快溧水南至黄山、北至镇江、连云港方向的通道联系。</w:t>
      </w:r>
    </w:p>
    <w:p>
      <w:pPr>
        <w:spacing w:line="560" w:lineRule="exact"/>
        <w:ind w:firstLine="602"/>
        <w:rPr>
          <w:rFonts w:ascii="Times New Roman" w:hAnsi="Times New Roman" w:eastAsia="仿宋_GB2312"/>
          <w:kern w:val="4"/>
          <w:sz w:val="30"/>
          <w:szCs w:val="30"/>
        </w:rPr>
      </w:pPr>
      <w:r>
        <w:rPr>
          <w:rFonts w:hint="eastAsia" w:ascii="Times New Roman" w:hAnsi="Times New Roman" w:eastAsia="仿宋_GB2312"/>
          <w:b/>
          <w:kern w:val="4"/>
          <w:sz w:val="30"/>
          <w:szCs w:val="30"/>
        </w:rPr>
        <w:t>加快</w:t>
      </w:r>
      <w:r>
        <w:rPr>
          <w:rFonts w:ascii="Times New Roman" w:hAnsi="Times New Roman" w:eastAsia="仿宋_GB2312"/>
          <w:b/>
          <w:kern w:val="4"/>
          <w:sz w:val="30"/>
          <w:szCs w:val="30"/>
        </w:rPr>
        <w:t>扬马城际铁路前期研究。</w:t>
      </w:r>
      <w:r>
        <w:rPr>
          <w:rFonts w:ascii="Times New Roman" w:hAnsi="Times New Roman" w:eastAsia="仿宋_GB2312"/>
          <w:kern w:val="4"/>
          <w:sz w:val="30"/>
          <w:szCs w:val="30"/>
        </w:rPr>
        <w:t>扬马城际有利于实现宁镇扬同城化以及扬州城市核心区与南京禄口机场的快速联系。规划线路由扬州东站引出，经扬州南站往南经镇江接入南京禄口机场，并延伸至马鞍山与合马城际相接。扬马城际在溧水境内从溧水北路穿过，可实现溧水与马鞍山、扬州、镇江之间的快速联系，是溧水重要的横向通道。</w:t>
      </w:r>
    </w:p>
    <w:p>
      <w:pPr>
        <w:spacing w:line="720" w:lineRule="exact"/>
        <w:ind w:firstLine="600"/>
        <w:outlineLvl w:val="3"/>
        <w:rPr>
          <w:rFonts w:ascii="Times New Roman" w:hAnsi="Times New Roman" w:eastAsia="黑体"/>
          <w:kern w:val="4"/>
          <w:sz w:val="30"/>
          <w:szCs w:val="30"/>
        </w:rPr>
      </w:pPr>
      <w:bookmarkStart w:id="41" w:name="_Toc430076910"/>
      <w:bookmarkStart w:id="42" w:name="_Toc438123200"/>
      <w:r>
        <w:rPr>
          <w:rFonts w:hint="eastAsia" w:ascii="Times New Roman" w:hAnsi="Times New Roman" w:eastAsia="黑体"/>
          <w:kern w:val="4"/>
          <w:sz w:val="30"/>
          <w:szCs w:val="30"/>
        </w:rPr>
        <w:t>（四）</w:t>
      </w:r>
      <w:r>
        <w:rPr>
          <w:rFonts w:ascii="Times New Roman" w:hAnsi="Times New Roman" w:eastAsia="黑体"/>
          <w:kern w:val="4"/>
          <w:sz w:val="30"/>
          <w:szCs w:val="30"/>
        </w:rPr>
        <w:t>重点加快轨道交通建设</w:t>
      </w:r>
      <w:bookmarkEnd w:id="41"/>
      <w:bookmarkEnd w:id="42"/>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充分发挥轨道交通运量大、速度快、安全、准点、环保、节能和集约用地的特点，积极配合推进S1、S7两条城际轨道建设，提升轨道客运出行服务水平，加快融入南京主城区，为溧水发展创造新机遇</w:t>
      </w:r>
      <w:r>
        <w:rPr>
          <w:rFonts w:hint="eastAsia" w:ascii="Times New Roman" w:hAnsi="Times New Roman" w:eastAsia="仿宋_GB2312"/>
          <w:kern w:val="4"/>
          <w:sz w:val="30"/>
          <w:szCs w:val="30"/>
        </w:rPr>
        <w:t>；加快</w:t>
      </w:r>
      <w:r>
        <w:rPr>
          <w:rFonts w:ascii="Times New Roman" w:hAnsi="Times New Roman" w:eastAsia="仿宋_GB2312"/>
          <w:kern w:val="4"/>
          <w:sz w:val="30"/>
          <w:szCs w:val="30"/>
        </w:rPr>
        <w:t>溧水区云轨</w:t>
      </w:r>
      <w:r>
        <w:rPr>
          <w:rFonts w:hint="eastAsia" w:ascii="Times New Roman" w:hAnsi="Times New Roman" w:eastAsia="仿宋_GB2312"/>
          <w:kern w:val="4"/>
          <w:sz w:val="30"/>
          <w:szCs w:val="30"/>
        </w:rPr>
        <w:t>项目</w:t>
      </w:r>
      <w:r>
        <w:rPr>
          <w:rFonts w:ascii="Times New Roman" w:hAnsi="Times New Roman" w:eastAsia="仿宋_GB2312"/>
          <w:kern w:val="4"/>
          <w:sz w:val="30"/>
          <w:szCs w:val="30"/>
        </w:rPr>
        <w:t>前期研究</w:t>
      </w:r>
      <w:commentRangeStart w:id="0"/>
      <w:r>
        <w:rPr>
          <w:rFonts w:hint="eastAsia" w:ascii="Times New Roman" w:hAnsi="Times New Roman" w:eastAsia="仿宋_GB2312"/>
          <w:kern w:val="4"/>
          <w:sz w:val="30"/>
          <w:szCs w:val="30"/>
        </w:rPr>
        <w:t>工作</w:t>
      </w:r>
      <w:commentRangeEnd w:id="0"/>
      <w:r>
        <w:rPr>
          <w:rStyle w:val="39"/>
          <w:rFonts w:eastAsia="宋体"/>
        </w:rPr>
        <w:commentReference w:id="0"/>
      </w:r>
      <w:r>
        <w:rPr>
          <w:rFonts w:ascii="Times New Roman" w:hAnsi="Times New Roman" w:eastAsia="仿宋_GB2312"/>
          <w:kern w:val="4"/>
          <w:sz w:val="30"/>
          <w:szCs w:val="30"/>
        </w:rPr>
        <w:t>并力争</w:t>
      </w:r>
      <w:r>
        <w:rPr>
          <w:rFonts w:hint="eastAsia" w:ascii="Times New Roman" w:hAnsi="Times New Roman" w:eastAsia="仿宋_GB2312"/>
          <w:kern w:val="4"/>
          <w:sz w:val="30"/>
          <w:szCs w:val="30"/>
        </w:rPr>
        <w:t>“十三五”</w:t>
      </w:r>
      <w:commentRangeStart w:id="1"/>
      <w:r>
        <w:rPr>
          <w:rFonts w:hint="eastAsia" w:ascii="Times New Roman" w:hAnsi="Times New Roman" w:eastAsia="仿宋_GB2312"/>
          <w:kern w:val="4"/>
          <w:sz w:val="30"/>
          <w:szCs w:val="30"/>
        </w:rPr>
        <w:t>末</w:t>
      </w:r>
      <w:commentRangeEnd w:id="1"/>
      <w:r>
        <w:rPr>
          <w:rStyle w:val="39"/>
          <w:rFonts w:eastAsia="宋体"/>
        </w:rPr>
        <w:commentReference w:id="1"/>
      </w:r>
      <w:r>
        <w:rPr>
          <w:rFonts w:ascii="Times New Roman" w:hAnsi="Times New Roman" w:eastAsia="仿宋_GB2312"/>
          <w:kern w:val="4"/>
          <w:sz w:val="30"/>
          <w:szCs w:val="30"/>
        </w:rPr>
        <w:t>开工建设</w:t>
      </w:r>
      <w:r>
        <w:rPr>
          <w:rFonts w:hint="eastAsia" w:ascii="Times New Roman" w:hAnsi="Times New Roman" w:eastAsia="仿宋_GB2312"/>
          <w:kern w:val="4"/>
          <w:sz w:val="30"/>
          <w:szCs w:val="30"/>
        </w:rPr>
        <w:t>。</w:t>
      </w:r>
      <w:commentRangeStart w:id="2"/>
      <w:r>
        <w:rPr>
          <w:rFonts w:hint="eastAsia" w:ascii="Times New Roman" w:hAnsi="Times New Roman" w:eastAsia="仿宋_GB2312"/>
          <w:kern w:val="4"/>
          <w:sz w:val="30"/>
          <w:szCs w:val="30"/>
        </w:rPr>
        <w:t>同时</w:t>
      </w:r>
      <w:r>
        <w:rPr>
          <w:rFonts w:ascii="Times New Roman" w:hAnsi="Times New Roman" w:eastAsia="仿宋_GB2312"/>
          <w:kern w:val="4"/>
          <w:sz w:val="30"/>
          <w:szCs w:val="30"/>
        </w:rPr>
        <w:t>，“十三五”期间，</w:t>
      </w:r>
      <w:commentRangeEnd w:id="2"/>
      <w:r>
        <w:rPr>
          <w:rStyle w:val="39"/>
          <w:rFonts w:eastAsia="宋体"/>
        </w:rPr>
        <w:commentReference w:id="2"/>
      </w:r>
      <w:r>
        <w:rPr>
          <w:rFonts w:hint="eastAsia" w:ascii="Times New Roman" w:hAnsi="Times New Roman" w:eastAsia="仿宋_GB2312"/>
          <w:kern w:val="4"/>
          <w:sz w:val="30"/>
          <w:szCs w:val="30"/>
        </w:rPr>
        <w:t>加强常规公交线网与轨道</w:t>
      </w:r>
      <w:r>
        <w:rPr>
          <w:rFonts w:ascii="Times New Roman" w:hAnsi="Times New Roman" w:eastAsia="仿宋_GB2312"/>
          <w:kern w:val="4"/>
          <w:sz w:val="30"/>
          <w:szCs w:val="30"/>
        </w:rPr>
        <w:t>S7、S1衔接，构建无缝衔接的一体化公交线网。</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w:t>
      </w:r>
      <w:r>
        <w:rPr>
          <w:rFonts w:ascii="Times New Roman" w:hAnsi="Times New Roman" w:eastAsia="仿宋_GB2312"/>
          <w:b/>
          <w:kern w:val="4"/>
          <w:sz w:val="30"/>
          <w:szCs w:val="30"/>
        </w:rPr>
        <w:t>续建轨道交通S1溧水段。</w:t>
      </w:r>
      <w:r>
        <w:rPr>
          <w:rFonts w:ascii="Times New Roman" w:hAnsi="Times New Roman" w:eastAsia="仿宋_GB2312"/>
          <w:kern w:val="4"/>
          <w:sz w:val="30"/>
          <w:szCs w:val="30"/>
        </w:rPr>
        <w:t>S1线从禄口新城南站接出，终于高淳区高淳站，是溧水、高淳与南京主城联系的重要通道，建成通车后将对溧水、高淳融入南京主城，推动经济社会发展起较大作用。S1线溧水段轨道全长约17.9公里，共设2座车站，分别为石湫站、明觉站，工程总投资46.19亿元，建设年限2014-2017</w:t>
      </w:r>
      <w:r>
        <w:rPr>
          <w:rFonts w:hint="eastAsia" w:ascii="Times New Roman" w:hAnsi="Times New Roman" w:eastAsia="仿宋_GB2312"/>
          <w:kern w:val="4"/>
          <w:sz w:val="30"/>
          <w:szCs w:val="30"/>
        </w:rPr>
        <w:t>年</w:t>
      </w:r>
      <w:r>
        <w:rPr>
          <w:rFonts w:ascii="Times New Roman" w:hAnsi="Times New Roman" w:eastAsia="仿宋_GB2312"/>
          <w:kern w:val="4"/>
          <w:sz w:val="30"/>
          <w:szCs w:val="30"/>
        </w:rPr>
        <w:t>。</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w:t>
      </w:r>
      <w:r>
        <w:rPr>
          <w:rFonts w:ascii="Times New Roman" w:hAnsi="Times New Roman" w:eastAsia="仿宋_GB2312"/>
          <w:b/>
          <w:kern w:val="4"/>
          <w:sz w:val="30"/>
          <w:szCs w:val="30"/>
        </w:rPr>
        <w:t>—续建轨道交通S7溧水段。</w:t>
      </w:r>
      <w:r>
        <w:rPr>
          <w:rFonts w:ascii="Times New Roman" w:hAnsi="Times New Roman" w:eastAsia="仿宋_GB2312"/>
          <w:kern w:val="4"/>
          <w:sz w:val="30"/>
          <w:szCs w:val="30"/>
        </w:rPr>
        <w:t>S7线起于禄口机场站，终于溧水区无想山站。全线贯穿溧水主城和开发区，与南京禄口机场线无缝对接。S7溧水段轨道全长约27.8公里，共设8座车站，分别为柘塘站、柘塘新区站、金山站、团山站、溧水站、中山东路站、金龙路站、无想山站。工程总投资94.84亿元，建设年限2014-2018</w:t>
      </w:r>
      <w:r>
        <w:rPr>
          <w:rFonts w:hint="eastAsia" w:ascii="Times New Roman" w:hAnsi="Times New Roman" w:eastAsia="仿宋_GB2312"/>
          <w:kern w:val="4"/>
          <w:sz w:val="30"/>
          <w:szCs w:val="30"/>
        </w:rPr>
        <w:t>年</w:t>
      </w:r>
      <w:r>
        <w:rPr>
          <w:rFonts w:ascii="Times New Roman" w:hAnsi="Times New Roman" w:eastAsia="仿宋_GB2312"/>
          <w:kern w:val="4"/>
          <w:sz w:val="30"/>
          <w:szCs w:val="30"/>
        </w:rPr>
        <w:t>。</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w:t>
      </w:r>
      <w:r>
        <w:rPr>
          <w:rFonts w:ascii="Times New Roman" w:hAnsi="Times New Roman" w:eastAsia="仿宋_GB2312"/>
          <w:b/>
          <w:kern w:val="4"/>
          <w:sz w:val="30"/>
          <w:szCs w:val="30"/>
        </w:rPr>
        <w:t>—</w:t>
      </w:r>
      <w:r>
        <w:rPr>
          <w:rFonts w:hint="eastAsia" w:ascii="Times New Roman" w:hAnsi="Times New Roman" w:eastAsia="仿宋_GB2312"/>
          <w:b/>
          <w:kern w:val="4"/>
          <w:sz w:val="30"/>
          <w:szCs w:val="30"/>
        </w:rPr>
        <w:t>加快</w:t>
      </w:r>
      <w:r>
        <w:rPr>
          <w:rFonts w:ascii="Times New Roman" w:hAnsi="Times New Roman" w:eastAsia="仿宋_GB2312"/>
          <w:b/>
          <w:kern w:val="4"/>
          <w:sz w:val="30"/>
          <w:szCs w:val="30"/>
        </w:rPr>
        <w:t>境内云</w:t>
      </w:r>
      <w:r>
        <w:rPr>
          <w:rFonts w:hint="eastAsia" w:ascii="Times New Roman" w:hAnsi="Times New Roman" w:eastAsia="仿宋_GB2312"/>
          <w:b/>
          <w:kern w:val="4"/>
          <w:sz w:val="30"/>
          <w:szCs w:val="30"/>
        </w:rPr>
        <w:t>轨</w:t>
      </w:r>
      <w:r>
        <w:rPr>
          <w:rFonts w:ascii="Times New Roman" w:hAnsi="Times New Roman" w:eastAsia="仿宋_GB2312"/>
          <w:b/>
          <w:kern w:val="4"/>
          <w:sz w:val="30"/>
          <w:szCs w:val="30"/>
        </w:rPr>
        <w:t>线路研究工作。</w:t>
      </w:r>
      <w:r>
        <w:rPr>
          <w:rFonts w:ascii="Times New Roman" w:hAnsi="Times New Roman" w:eastAsia="仿宋_GB2312"/>
          <w:kern w:val="4"/>
          <w:sz w:val="30"/>
          <w:szCs w:val="30"/>
        </w:rPr>
        <w:t>加快</w:t>
      </w:r>
      <w:r>
        <w:rPr>
          <w:rFonts w:hint="eastAsia" w:ascii="Times New Roman" w:hAnsi="Times New Roman" w:eastAsia="仿宋_GB2312"/>
          <w:kern w:val="4"/>
          <w:sz w:val="30"/>
          <w:szCs w:val="30"/>
        </w:rPr>
        <w:t>推进</w:t>
      </w:r>
      <w:r>
        <w:rPr>
          <w:rFonts w:ascii="Times New Roman" w:hAnsi="Times New Roman" w:eastAsia="仿宋_GB2312"/>
          <w:kern w:val="4"/>
          <w:sz w:val="30"/>
          <w:szCs w:val="30"/>
        </w:rPr>
        <w:t>溧水</w:t>
      </w:r>
      <w:commentRangeStart w:id="3"/>
      <w:r>
        <w:rPr>
          <w:rFonts w:ascii="Times New Roman" w:hAnsi="Times New Roman" w:eastAsia="仿宋_GB2312"/>
          <w:kern w:val="4"/>
          <w:sz w:val="30"/>
          <w:szCs w:val="30"/>
        </w:rPr>
        <w:t>境内南北方向</w:t>
      </w:r>
      <w:commentRangeEnd w:id="3"/>
      <w:r>
        <w:rPr>
          <w:rStyle w:val="39"/>
          <w:rFonts w:eastAsia="宋体"/>
        </w:rPr>
        <w:commentReference w:id="3"/>
      </w:r>
      <w:r>
        <w:rPr>
          <w:rFonts w:ascii="Times New Roman" w:hAnsi="Times New Roman" w:eastAsia="仿宋_GB2312"/>
          <w:kern w:val="4"/>
          <w:sz w:val="30"/>
          <w:szCs w:val="30"/>
        </w:rPr>
        <w:t>云轨项目的研究</w:t>
      </w:r>
      <w:commentRangeStart w:id="4"/>
      <w:r>
        <w:rPr>
          <w:rFonts w:ascii="Times New Roman" w:hAnsi="Times New Roman" w:eastAsia="仿宋_GB2312"/>
          <w:kern w:val="4"/>
          <w:sz w:val="30"/>
          <w:szCs w:val="30"/>
        </w:rPr>
        <w:t>工作</w:t>
      </w:r>
      <w:commentRangeEnd w:id="4"/>
      <w:r>
        <w:rPr>
          <w:rStyle w:val="39"/>
          <w:rFonts w:eastAsia="宋体"/>
        </w:rPr>
        <w:commentReference w:id="4"/>
      </w:r>
      <w:commentRangeStart w:id="5"/>
      <w:r>
        <w:rPr>
          <w:rFonts w:ascii="Times New Roman" w:hAnsi="Times New Roman" w:eastAsia="仿宋_GB2312"/>
          <w:kern w:val="4"/>
          <w:sz w:val="30"/>
          <w:szCs w:val="30"/>
        </w:rPr>
        <w:t>，实现</w:t>
      </w:r>
      <w:r>
        <w:rPr>
          <w:rFonts w:hint="eastAsia" w:ascii="Times New Roman" w:hAnsi="Times New Roman" w:eastAsia="仿宋_GB2312"/>
          <w:kern w:val="4"/>
          <w:sz w:val="30"/>
          <w:szCs w:val="30"/>
        </w:rPr>
        <w:t>S1、S7之间</w:t>
      </w:r>
      <w:r>
        <w:rPr>
          <w:rFonts w:ascii="Times New Roman" w:hAnsi="Times New Roman" w:eastAsia="仿宋_GB2312"/>
          <w:kern w:val="4"/>
          <w:sz w:val="30"/>
          <w:szCs w:val="30"/>
        </w:rPr>
        <w:t>的有效衔接</w:t>
      </w:r>
      <w:r>
        <w:rPr>
          <w:rFonts w:hint="eastAsia" w:ascii="Times New Roman" w:hAnsi="Times New Roman" w:eastAsia="仿宋_GB2312"/>
          <w:kern w:val="4"/>
          <w:sz w:val="30"/>
          <w:szCs w:val="30"/>
        </w:rPr>
        <w:t>。</w:t>
      </w:r>
      <w:commentRangeEnd w:id="5"/>
      <w:r>
        <w:rPr>
          <w:rStyle w:val="39"/>
          <w:rFonts w:eastAsia="宋体"/>
        </w:rPr>
        <w:commentReference w:id="5"/>
      </w:r>
    </w:p>
    <w:p>
      <w:pPr>
        <w:pBdr>
          <w:top w:val="single" w:color="auto" w:sz="4" w:space="1"/>
          <w:left w:val="single" w:color="auto" w:sz="4" w:space="4"/>
          <w:bottom w:val="single" w:color="auto" w:sz="4" w:space="1"/>
          <w:right w:val="single" w:color="auto" w:sz="4" w:space="4"/>
        </w:pBdr>
        <w:shd w:val="pct10" w:color="auto" w:fill="auto"/>
        <w:spacing w:line="560" w:lineRule="exact"/>
        <w:ind w:firstLine="0" w:firstLineChars="0"/>
        <w:jc w:val="center"/>
        <w:rPr>
          <w:rFonts w:ascii="楷体" w:hAnsi="楷体" w:eastAsia="楷体"/>
          <w:b/>
          <w:kern w:val="4"/>
          <w:sz w:val="24"/>
        </w:rPr>
      </w:pPr>
      <w:r>
        <w:rPr>
          <w:rFonts w:hint="eastAsia" w:ascii="楷体" w:hAnsi="楷体" w:eastAsia="楷体"/>
          <w:b/>
          <w:kern w:val="4"/>
          <w:sz w:val="24"/>
        </w:rPr>
        <w:t>【专栏：比亚迪云轨】</w:t>
      </w:r>
    </w:p>
    <w:p>
      <w:pPr>
        <w:pBdr>
          <w:top w:val="single" w:color="auto" w:sz="4" w:space="1"/>
          <w:left w:val="single" w:color="auto" w:sz="4" w:space="4"/>
          <w:bottom w:val="single" w:color="auto" w:sz="4" w:space="1"/>
          <w:right w:val="single" w:color="auto" w:sz="4" w:space="4"/>
        </w:pBdr>
        <w:shd w:val="pct10" w:color="auto" w:fill="auto"/>
        <w:spacing w:line="360" w:lineRule="auto"/>
        <w:ind w:firstLine="420"/>
        <w:rPr>
          <w:rFonts w:ascii="楷体" w:hAnsi="楷体" w:eastAsia="楷体"/>
          <w:kern w:val="4"/>
          <w:sz w:val="21"/>
          <w:szCs w:val="21"/>
        </w:rPr>
      </w:pPr>
      <w:r>
        <w:rPr>
          <w:rFonts w:hint="eastAsia" w:ascii="楷体" w:hAnsi="楷体" w:eastAsia="楷体"/>
          <w:kern w:val="4"/>
          <w:sz w:val="21"/>
          <w:szCs w:val="21"/>
        </w:rPr>
        <w:t>比亚迪云轨是一种中小运力的跨座式单轨公交，具有成本更低、占地更少、运力更灵活、地形适应能力更强等诸多优势。</w:t>
      </w:r>
    </w:p>
    <w:p>
      <w:pPr>
        <w:pBdr>
          <w:top w:val="single" w:color="auto" w:sz="4" w:space="1"/>
          <w:left w:val="single" w:color="auto" w:sz="4" w:space="4"/>
          <w:bottom w:val="single" w:color="auto" w:sz="4" w:space="1"/>
          <w:right w:val="single" w:color="auto" w:sz="4" w:space="4"/>
        </w:pBdr>
        <w:shd w:val="pct10" w:color="auto" w:fill="auto"/>
        <w:spacing w:line="360" w:lineRule="auto"/>
        <w:ind w:firstLine="420"/>
        <w:rPr>
          <w:rFonts w:ascii="楷体" w:hAnsi="楷体" w:eastAsia="楷体"/>
          <w:kern w:val="4"/>
          <w:sz w:val="21"/>
          <w:szCs w:val="21"/>
        </w:rPr>
      </w:pPr>
      <w:r>
        <w:rPr>
          <w:rFonts w:hint="eastAsia" w:ascii="楷体" w:hAnsi="楷体" w:eastAsia="楷体"/>
          <w:b/>
          <w:kern w:val="4"/>
          <w:sz w:val="21"/>
          <w:szCs w:val="21"/>
        </w:rPr>
        <w:t>造价低</w:t>
      </w:r>
      <w:r>
        <w:rPr>
          <w:rFonts w:ascii="楷体" w:hAnsi="楷体" w:eastAsia="楷体"/>
          <w:b/>
          <w:kern w:val="4"/>
          <w:sz w:val="21"/>
          <w:szCs w:val="21"/>
        </w:rPr>
        <w:t>：</w:t>
      </w:r>
      <w:r>
        <w:rPr>
          <w:rFonts w:hint="eastAsia" w:ascii="楷体" w:hAnsi="楷体" w:eastAsia="楷体"/>
          <w:kern w:val="4"/>
          <w:sz w:val="21"/>
          <w:szCs w:val="21"/>
        </w:rPr>
        <w:t>和地铁相比，比亚迪云轨建设成本只有大约</w:t>
      </w:r>
      <w:r>
        <w:rPr>
          <w:rFonts w:ascii="楷体" w:hAnsi="楷体" w:eastAsia="楷体"/>
          <w:kern w:val="4"/>
          <w:sz w:val="21"/>
          <w:szCs w:val="21"/>
        </w:rPr>
        <w:t>1/5</w:t>
      </w:r>
      <w:r>
        <w:rPr>
          <w:rFonts w:hint="eastAsia" w:ascii="楷体" w:hAnsi="楷体" w:eastAsia="楷体"/>
          <w:kern w:val="4"/>
          <w:sz w:val="21"/>
          <w:szCs w:val="21"/>
        </w:rPr>
        <w:t>。</w:t>
      </w:r>
      <w:r>
        <w:rPr>
          <w:rFonts w:ascii="楷体" w:hAnsi="楷体" w:eastAsia="楷体"/>
          <w:kern w:val="4"/>
          <w:sz w:val="21"/>
          <w:szCs w:val="21"/>
        </w:rPr>
        <w:t>云轨目前建设成本大约为2亿元/公里，而国内地铁的建设成本是8-12亿元/公里</w:t>
      </w:r>
      <w:r>
        <w:rPr>
          <w:rFonts w:hint="eastAsia" w:ascii="楷体" w:hAnsi="楷体" w:eastAsia="楷体"/>
          <w:kern w:val="4"/>
          <w:sz w:val="21"/>
          <w:szCs w:val="21"/>
        </w:rPr>
        <w:t>。</w:t>
      </w:r>
    </w:p>
    <w:p>
      <w:pPr>
        <w:pBdr>
          <w:top w:val="single" w:color="auto" w:sz="4" w:space="1"/>
          <w:left w:val="single" w:color="auto" w:sz="4" w:space="4"/>
          <w:bottom w:val="single" w:color="auto" w:sz="4" w:space="1"/>
          <w:right w:val="single" w:color="auto" w:sz="4" w:space="4"/>
        </w:pBdr>
        <w:shd w:val="pct10" w:color="auto" w:fill="auto"/>
        <w:spacing w:line="360" w:lineRule="auto"/>
        <w:ind w:firstLine="420"/>
        <w:rPr>
          <w:rFonts w:ascii="楷体" w:hAnsi="楷体" w:eastAsia="楷体"/>
          <w:kern w:val="4"/>
          <w:sz w:val="21"/>
          <w:szCs w:val="21"/>
        </w:rPr>
      </w:pPr>
      <w:r>
        <w:rPr>
          <w:rFonts w:hint="eastAsia" w:ascii="楷体" w:hAnsi="楷体" w:eastAsia="楷体"/>
          <w:b/>
          <w:kern w:val="4"/>
          <w:sz w:val="21"/>
          <w:szCs w:val="21"/>
        </w:rPr>
        <w:t>适应</w:t>
      </w:r>
      <w:r>
        <w:rPr>
          <w:rFonts w:ascii="楷体" w:hAnsi="楷体" w:eastAsia="楷体"/>
          <w:b/>
          <w:kern w:val="4"/>
          <w:sz w:val="21"/>
          <w:szCs w:val="21"/>
        </w:rPr>
        <w:t>能力强：</w:t>
      </w:r>
      <w:r>
        <w:rPr>
          <w:rFonts w:hint="eastAsia" w:ascii="楷体" w:hAnsi="楷体" w:eastAsia="楷体"/>
          <w:kern w:val="4"/>
          <w:sz w:val="21"/>
          <w:szCs w:val="21"/>
        </w:rPr>
        <w:t>比亚迪云轨的最小转弯半径仅为</w:t>
      </w:r>
      <w:r>
        <w:rPr>
          <w:rFonts w:ascii="楷体" w:hAnsi="楷体" w:eastAsia="楷体"/>
          <w:kern w:val="4"/>
          <w:sz w:val="21"/>
          <w:szCs w:val="21"/>
        </w:rPr>
        <w:t>45米，而地铁是300米；云轨的最大爬坡度是10%，地铁仅为3%，云轨的地形适应能力远高于地铁。这都决定了云轨的建设难度远低于地铁，建设周期仅为地铁的1/3。</w:t>
      </w:r>
    </w:p>
    <w:p>
      <w:pPr>
        <w:pBdr>
          <w:top w:val="single" w:color="auto" w:sz="4" w:space="1"/>
          <w:left w:val="single" w:color="auto" w:sz="4" w:space="4"/>
          <w:bottom w:val="single" w:color="auto" w:sz="4" w:space="1"/>
          <w:right w:val="single" w:color="auto" w:sz="4" w:space="4"/>
        </w:pBdr>
        <w:shd w:val="pct10" w:color="auto" w:fill="auto"/>
        <w:spacing w:line="360" w:lineRule="auto"/>
        <w:ind w:firstLine="420"/>
        <w:rPr>
          <w:rFonts w:ascii="楷体" w:hAnsi="楷体" w:eastAsia="楷体"/>
          <w:kern w:val="4"/>
          <w:sz w:val="21"/>
          <w:szCs w:val="21"/>
        </w:rPr>
      </w:pPr>
      <w:r>
        <w:rPr>
          <w:rFonts w:hint="eastAsia" w:ascii="楷体" w:hAnsi="楷体" w:eastAsia="楷体"/>
          <w:b/>
          <w:kern w:val="4"/>
          <w:sz w:val="21"/>
          <w:szCs w:val="21"/>
        </w:rPr>
        <w:t>运力灵活</w:t>
      </w:r>
      <w:r>
        <w:rPr>
          <w:rFonts w:ascii="楷体" w:hAnsi="楷体" w:eastAsia="楷体"/>
          <w:b/>
          <w:kern w:val="4"/>
          <w:sz w:val="21"/>
          <w:szCs w:val="21"/>
        </w:rPr>
        <w:t>：</w:t>
      </w:r>
      <w:r>
        <w:rPr>
          <w:rFonts w:hint="eastAsia" w:ascii="楷体" w:hAnsi="楷体" w:eastAsia="楷体"/>
          <w:kern w:val="4"/>
          <w:sz w:val="21"/>
          <w:szCs w:val="21"/>
        </w:rPr>
        <w:t>地铁运力太高，按照标准，每趟地铁的运力不应该低于</w:t>
      </w:r>
      <w:r>
        <w:rPr>
          <w:rFonts w:ascii="楷体" w:hAnsi="楷体" w:eastAsia="楷体"/>
          <w:kern w:val="4"/>
          <w:sz w:val="21"/>
          <w:szCs w:val="21"/>
        </w:rPr>
        <w:t>7000人，这就决定了地铁只适用于大城市，广大中小城市实际上是不宜建地铁的。</w:t>
      </w:r>
    </w:p>
    <w:p>
      <w:pPr>
        <w:pBdr>
          <w:top w:val="single" w:color="auto" w:sz="4" w:space="1"/>
          <w:left w:val="single" w:color="auto" w:sz="4" w:space="4"/>
          <w:bottom w:val="single" w:color="auto" w:sz="4" w:space="1"/>
          <w:right w:val="single" w:color="auto" w:sz="4" w:space="4"/>
        </w:pBdr>
        <w:shd w:val="pct10" w:color="auto" w:fill="auto"/>
        <w:spacing w:line="360" w:lineRule="auto"/>
        <w:ind w:firstLine="420"/>
        <w:rPr>
          <w:rFonts w:ascii="楷体" w:hAnsi="楷体" w:eastAsia="楷体"/>
          <w:b/>
          <w:kern w:val="4"/>
          <w:sz w:val="21"/>
          <w:szCs w:val="21"/>
        </w:rPr>
      </w:pPr>
      <w:r>
        <w:rPr>
          <w:rFonts w:hint="eastAsia" w:ascii="楷体" w:hAnsi="楷体" w:eastAsia="楷体"/>
          <w:b/>
          <w:kern w:val="4"/>
          <w:sz w:val="21"/>
          <w:szCs w:val="21"/>
        </w:rPr>
        <w:t>噪音少</w:t>
      </w:r>
      <w:r>
        <w:rPr>
          <w:rFonts w:ascii="楷体" w:hAnsi="楷体" w:eastAsia="楷体"/>
          <w:b/>
          <w:kern w:val="4"/>
          <w:sz w:val="21"/>
          <w:szCs w:val="21"/>
        </w:rPr>
        <w:t>：</w:t>
      </w:r>
      <w:r>
        <w:rPr>
          <w:rFonts w:hint="eastAsia" w:ascii="楷体" w:hAnsi="楷体" w:eastAsia="楷体"/>
          <w:kern w:val="4"/>
          <w:sz w:val="21"/>
          <w:szCs w:val="21"/>
        </w:rPr>
        <w:t>云轨的转向架采用橡胶轮胎及空气</w:t>
      </w:r>
      <w:r>
        <w:fldChar w:fldCharType="begin"/>
      </w:r>
      <w:r>
        <w:instrText xml:space="preserve"> HYPERLINK "http://db.auto.sohu.com/baike/807.shtml" \t "_blank" </w:instrText>
      </w:r>
      <w:r>
        <w:fldChar w:fldCharType="separate"/>
      </w:r>
      <w:r>
        <w:rPr>
          <w:rFonts w:hint="eastAsia" w:ascii="楷体" w:hAnsi="楷体" w:eastAsia="楷体"/>
          <w:kern w:val="4"/>
          <w:sz w:val="21"/>
          <w:szCs w:val="21"/>
        </w:rPr>
        <w:t>弹簧</w:t>
      </w:r>
      <w:r>
        <w:rPr>
          <w:rFonts w:hint="eastAsia" w:ascii="楷体" w:hAnsi="楷体" w:eastAsia="楷体"/>
          <w:kern w:val="4"/>
          <w:sz w:val="21"/>
          <w:szCs w:val="21"/>
        </w:rPr>
        <w:fldChar w:fldCharType="end"/>
      </w:r>
      <w:r>
        <w:rPr>
          <w:rFonts w:hint="eastAsia" w:ascii="楷体" w:hAnsi="楷体" w:eastAsia="楷体"/>
          <w:kern w:val="4"/>
          <w:sz w:val="21"/>
          <w:szCs w:val="21"/>
        </w:rPr>
        <w:t>，运行噪声较钢轨低10分贝，整体噪音值与电动巴士相当，可以从大楼中间穿过，而不影响居民的作息。</w:t>
      </w:r>
    </w:p>
    <w:p>
      <w:pPr>
        <w:spacing w:line="720" w:lineRule="exact"/>
        <w:ind w:firstLine="600"/>
        <w:outlineLvl w:val="3"/>
        <w:rPr>
          <w:rFonts w:ascii="Times New Roman" w:hAnsi="Times New Roman" w:eastAsia="黑体"/>
          <w:kern w:val="4"/>
          <w:sz w:val="30"/>
          <w:szCs w:val="30"/>
        </w:rPr>
      </w:pPr>
      <w:bookmarkStart w:id="43" w:name="_Toc438123201"/>
      <w:r>
        <w:rPr>
          <w:rFonts w:hint="eastAsia" w:ascii="Times New Roman" w:hAnsi="Times New Roman" w:eastAsia="黑体"/>
          <w:kern w:val="4"/>
          <w:sz w:val="30"/>
          <w:szCs w:val="30"/>
        </w:rPr>
        <w:t>（五）</w:t>
      </w:r>
      <w:r>
        <w:rPr>
          <w:rFonts w:ascii="Times New Roman" w:hAnsi="Times New Roman" w:eastAsia="黑体"/>
          <w:kern w:val="4"/>
          <w:sz w:val="30"/>
          <w:szCs w:val="30"/>
        </w:rPr>
        <w:t>积极推进通用机场建设</w:t>
      </w:r>
      <w:bookmarkEnd w:id="43"/>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为抢抓国家低空空域管理改革的重大机遇，结合全省通用机场布局规划，以构建航空应急救援等社会公共服务体系和发展通用航空产业为切入点。“十三五”期间，积极推进小型通用机场</w:t>
      </w:r>
      <w:r>
        <w:rPr>
          <w:rFonts w:hint="eastAsia" w:ascii="Times New Roman" w:hAnsi="Times New Roman" w:eastAsia="仿宋_GB2312"/>
          <w:kern w:val="4"/>
          <w:sz w:val="30"/>
          <w:szCs w:val="30"/>
        </w:rPr>
        <w:t>前期</w:t>
      </w:r>
      <w:r>
        <w:rPr>
          <w:rFonts w:ascii="Times New Roman" w:hAnsi="Times New Roman" w:eastAsia="仿宋_GB2312"/>
          <w:kern w:val="4"/>
          <w:sz w:val="30"/>
          <w:szCs w:val="30"/>
        </w:rPr>
        <w:t>研究，支撑全省及全市通用航空应急救援体系构建和服务溧水经济社会发展</w:t>
      </w:r>
      <w:r>
        <w:rPr>
          <w:rFonts w:hint="eastAsia" w:ascii="Times New Roman" w:hAnsi="Times New Roman" w:eastAsia="仿宋_GB2312"/>
          <w:kern w:val="4"/>
          <w:sz w:val="30"/>
          <w:szCs w:val="30"/>
        </w:rPr>
        <w:t>，力争“</w:t>
      </w:r>
      <w:r>
        <w:rPr>
          <w:rFonts w:ascii="Times New Roman" w:hAnsi="Times New Roman" w:eastAsia="仿宋_GB2312"/>
          <w:kern w:val="4"/>
          <w:sz w:val="30"/>
          <w:szCs w:val="30"/>
        </w:rPr>
        <w:t>十三五</w:t>
      </w:r>
      <w:r>
        <w:rPr>
          <w:rFonts w:hint="eastAsia" w:ascii="Times New Roman" w:hAnsi="Times New Roman" w:eastAsia="仿宋_GB2312"/>
          <w:kern w:val="4"/>
          <w:sz w:val="30"/>
          <w:szCs w:val="30"/>
        </w:rPr>
        <w:t>”</w:t>
      </w:r>
      <w:r>
        <w:rPr>
          <w:rFonts w:ascii="Times New Roman" w:hAnsi="Times New Roman" w:eastAsia="仿宋_GB2312"/>
          <w:kern w:val="4"/>
          <w:sz w:val="30"/>
          <w:szCs w:val="30"/>
        </w:rPr>
        <w:t>期间开工建设。具体建设方案：</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机场选址：位于和凤镇。</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功能定位：满足应急救援、医疗救护等公共服务功能，重点开展无人机试飞，空中游览等通用航空业务，同时兼顾其他通用航空功能。</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建设内容：飞行区跑道、联络道、停机库、停机坪、办公楼等基础设施等。</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建设用地：项目用地面积300亩，项目总投资约1.5亿元人民币，建设时间201</w:t>
      </w:r>
      <w:r>
        <w:rPr>
          <w:rFonts w:hint="eastAsia" w:ascii="Times New Roman" w:hAnsi="Times New Roman" w:eastAsia="仿宋_GB2312"/>
          <w:kern w:val="4"/>
          <w:sz w:val="30"/>
          <w:szCs w:val="30"/>
        </w:rPr>
        <w:t>7</w:t>
      </w:r>
      <w:r>
        <w:rPr>
          <w:rFonts w:ascii="Times New Roman" w:hAnsi="Times New Roman" w:eastAsia="仿宋_GB2312"/>
          <w:kern w:val="4"/>
          <w:sz w:val="30"/>
          <w:szCs w:val="30"/>
        </w:rPr>
        <w:t>-2020年。</w:t>
      </w:r>
    </w:p>
    <w:p>
      <w:pPr>
        <w:spacing w:line="720" w:lineRule="exact"/>
        <w:ind w:firstLine="0" w:firstLineChars="0"/>
        <w:outlineLvl w:val="2"/>
        <w:rPr>
          <w:rFonts w:ascii="Times New Roman" w:hAnsi="Times New Roman" w:eastAsia="黑体"/>
          <w:kern w:val="4"/>
          <w:sz w:val="30"/>
          <w:szCs w:val="30"/>
        </w:rPr>
      </w:pPr>
      <w:r>
        <w:rPr>
          <w:rFonts w:ascii="Times New Roman" w:hAnsi="Times New Roman" w:eastAsia="黑体"/>
          <w:kern w:val="4"/>
          <w:sz w:val="30"/>
          <w:szCs w:val="30"/>
        </w:rPr>
        <w:t>4.1</w:t>
      </w:r>
      <w:r>
        <w:rPr>
          <w:rFonts w:hint="eastAsia" w:ascii="Times New Roman" w:hAnsi="Times New Roman" w:eastAsia="黑体"/>
          <w:kern w:val="4"/>
          <w:sz w:val="30"/>
          <w:szCs w:val="30"/>
        </w:rPr>
        <w:t>.</w:t>
      </w:r>
      <w:r>
        <w:rPr>
          <w:rFonts w:ascii="Times New Roman" w:hAnsi="Times New Roman" w:eastAsia="黑体"/>
          <w:kern w:val="4"/>
          <w:sz w:val="30"/>
          <w:szCs w:val="30"/>
        </w:rPr>
        <w:t>2</w:t>
      </w:r>
      <w:r>
        <w:rPr>
          <w:rFonts w:hint="eastAsia" w:ascii="Times New Roman" w:hAnsi="Times New Roman" w:eastAsia="黑体"/>
          <w:kern w:val="4"/>
          <w:sz w:val="30"/>
          <w:szCs w:val="30"/>
        </w:rPr>
        <w:t>积极打造综合大</w:t>
      </w:r>
      <w:r>
        <w:rPr>
          <w:rFonts w:ascii="Times New Roman" w:hAnsi="Times New Roman" w:eastAsia="黑体"/>
          <w:kern w:val="4"/>
          <w:sz w:val="30"/>
          <w:szCs w:val="30"/>
        </w:rPr>
        <w:t>枢纽</w:t>
      </w:r>
    </w:p>
    <w:p>
      <w:pPr>
        <w:spacing w:line="560" w:lineRule="exact"/>
        <w:ind w:firstLine="600"/>
        <w:rPr>
          <w:rFonts w:ascii="Times New Roman" w:hAnsi="Times New Roman" w:eastAsia="仿宋_GB2312"/>
          <w:kern w:val="4"/>
          <w:sz w:val="30"/>
          <w:szCs w:val="30"/>
        </w:rPr>
      </w:pPr>
      <w:r>
        <w:rPr>
          <w:rFonts w:hint="eastAsia" w:ascii="Times New Roman" w:hAnsi="Times New Roman" w:eastAsia="仿宋_GB2312"/>
          <w:kern w:val="4"/>
          <w:sz w:val="30"/>
          <w:szCs w:val="30"/>
        </w:rPr>
        <w:t>枢纽是产业、经济发展的动力极核。“十三五”期间</w:t>
      </w:r>
      <w:r>
        <w:rPr>
          <w:rFonts w:ascii="Times New Roman" w:hAnsi="Times New Roman" w:eastAsia="仿宋_GB2312"/>
          <w:kern w:val="4"/>
          <w:sz w:val="30"/>
          <w:szCs w:val="30"/>
        </w:rPr>
        <w:t>，</w:t>
      </w:r>
      <w:r>
        <w:rPr>
          <w:rFonts w:hint="eastAsia" w:ascii="Times New Roman" w:hAnsi="Times New Roman" w:eastAsia="仿宋_GB2312"/>
          <w:kern w:val="4"/>
          <w:sz w:val="30"/>
          <w:szCs w:val="30"/>
        </w:rPr>
        <w:t>围绕禄口</w:t>
      </w:r>
      <w:r>
        <w:rPr>
          <w:rFonts w:ascii="Times New Roman" w:hAnsi="Times New Roman" w:eastAsia="仿宋_GB2312"/>
          <w:kern w:val="4"/>
          <w:sz w:val="30"/>
          <w:szCs w:val="30"/>
        </w:rPr>
        <w:t>机场、</w:t>
      </w:r>
      <w:r>
        <w:rPr>
          <w:rFonts w:hint="eastAsia" w:ascii="Times New Roman" w:hAnsi="Times New Roman" w:eastAsia="仿宋_GB2312"/>
          <w:kern w:val="4"/>
          <w:sz w:val="30"/>
          <w:szCs w:val="30"/>
        </w:rPr>
        <w:t>溧水铁路客运</w:t>
      </w:r>
      <w:r>
        <w:rPr>
          <w:rFonts w:ascii="Times New Roman" w:hAnsi="Times New Roman" w:eastAsia="仿宋_GB2312"/>
          <w:kern w:val="4"/>
          <w:sz w:val="30"/>
          <w:szCs w:val="30"/>
        </w:rPr>
        <w:t>枢纽，</w:t>
      </w:r>
      <w:r>
        <w:rPr>
          <w:rFonts w:hint="eastAsia" w:ascii="Times New Roman" w:hAnsi="Times New Roman" w:eastAsia="仿宋_GB2312"/>
          <w:kern w:val="4"/>
          <w:sz w:val="30"/>
          <w:szCs w:val="30"/>
        </w:rPr>
        <w:t>构建完善的枢纽集疏运</w:t>
      </w:r>
      <w:r>
        <w:rPr>
          <w:rFonts w:ascii="Times New Roman" w:hAnsi="Times New Roman" w:eastAsia="仿宋_GB2312"/>
          <w:kern w:val="4"/>
          <w:sz w:val="30"/>
          <w:szCs w:val="30"/>
        </w:rPr>
        <w:t>系统</w:t>
      </w:r>
      <w:r>
        <w:rPr>
          <w:rFonts w:hint="eastAsia" w:ascii="Times New Roman" w:hAnsi="Times New Roman" w:eastAsia="仿宋_GB2312"/>
          <w:kern w:val="4"/>
          <w:sz w:val="30"/>
          <w:szCs w:val="30"/>
        </w:rPr>
        <w:t>，充分发挥枢纽驱动优势。</w:t>
      </w:r>
    </w:p>
    <w:p>
      <w:pPr>
        <w:spacing w:line="560" w:lineRule="exact"/>
        <w:ind w:firstLine="602"/>
        <w:rPr>
          <w:rFonts w:ascii="Times New Roman" w:hAnsi="Times New Roman" w:eastAsia="仿宋_GB2312"/>
          <w:kern w:val="4"/>
          <w:sz w:val="30"/>
          <w:szCs w:val="30"/>
        </w:rPr>
      </w:pPr>
      <w:r>
        <w:rPr>
          <w:rFonts w:ascii="Times New Roman" w:hAnsi="Times New Roman" w:eastAsia="仿宋_GB2312"/>
          <w:b/>
          <w:kern w:val="4"/>
          <w:sz w:val="30"/>
          <w:szCs w:val="30"/>
        </w:rPr>
        <w:t>推进</w:t>
      </w:r>
      <w:r>
        <w:rPr>
          <w:rFonts w:hint="eastAsia" w:ascii="Times New Roman" w:hAnsi="Times New Roman" w:eastAsia="仿宋_GB2312"/>
          <w:b/>
          <w:kern w:val="4"/>
          <w:sz w:val="30"/>
          <w:szCs w:val="30"/>
        </w:rPr>
        <w:t>溧水</w:t>
      </w:r>
      <w:r>
        <w:rPr>
          <w:rFonts w:ascii="Times New Roman" w:hAnsi="Times New Roman" w:eastAsia="仿宋_GB2312"/>
          <w:b/>
          <w:kern w:val="4"/>
          <w:sz w:val="30"/>
          <w:szCs w:val="30"/>
        </w:rPr>
        <w:t>综合客运枢纽建设</w:t>
      </w:r>
      <w:r>
        <w:rPr>
          <w:rFonts w:hint="eastAsia" w:ascii="Times New Roman" w:hAnsi="Times New Roman" w:eastAsia="仿宋_GB2312"/>
          <w:b/>
          <w:kern w:val="4"/>
          <w:sz w:val="30"/>
          <w:szCs w:val="30"/>
        </w:rPr>
        <w:t>。</w:t>
      </w:r>
      <w:r>
        <w:rPr>
          <w:rFonts w:hint="eastAsia" w:ascii="Times New Roman" w:hAnsi="Times New Roman" w:eastAsia="仿宋_GB2312"/>
          <w:kern w:val="4"/>
          <w:sz w:val="30"/>
          <w:szCs w:val="30"/>
        </w:rPr>
        <w:t>规划镇宣高铁途径溧水</w:t>
      </w:r>
      <w:r>
        <w:rPr>
          <w:rFonts w:ascii="Times New Roman" w:hAnsi="Times New Roman" w:eastAsia="仿宋_GB2312"/>
          <w:kern w:val="4"/>
          <w:sz w:val="30"/>
          <w:szCs w:val="30"/>
        </w:rPr>
        <w:t>高铁站，</w:t>
      </w:r>
      <w:r>
        <w:rPr>
          <w:rFonts w:hint="eastAsia" w:ascii="Times New Roman" w:hAnsi="Times New Roman" w:eastAsia="仿宋_GB2312"/>
          <w:kern w:val="4"/>
          <w:sz w:val="30"/>
          <w:szCs w:val="30"/>
        </w:rPr>
        <w:t>与</w:t>
      </w:r>
      <w:r>
        <w:rPr>
          <w:rFonts w:ascii="Times New Roman" w:hAnsi="Times New Roman" w:eastAsia="仿宋_GB2312"/>
          <w:kern w:val="4"/>
          <w:sz w:val="30"/>
          <w:szCs w:val="30"/>
        </w:rPr>
        <w:t>宁杭</w:t>
      </w:r>
      <w:r>
        <w:rPr>
          <w:rFonts w:hint="eastAsia" w:ascii="Times New Roman" w:hAnsi="Times New Roman" w:eastAsia="仿宋_GB2312"/>
          <w:kern w:val="4"/>
          <w:sz w:val="30"/>
          <w:szCs w:val="30"/>
        </w:rPr>
        <w:t>城际</w:t>
      </w:r>
      <w:r>
        <w:rPr>
          <w:rFonts w:ascii="Times New Roman" w:hAnsi="Times New Roman" w:eastAsia="仿宋_GB2312"/>
          <w:kern w:val="4"/>
          <w:sz w:val="30"/>
          <w:szCs w:val="30"/>
        </w:rPr>
        <w:t>高铁</w:t>
      </w:r>
      <w:r>
        <w:rPr>
          <w:rFonts w:hint="eastAsia" w:ascii="Times New Roman" w:hAnsi="Times New Roman" w:eastAsia="仿宋_GB2312"/>
          <w:kern w:val="4"/>
          <w:sz w:val="30"/>
          <w:szCs w:val="30"/>
        </w:rPr>
        <w:t>形成</w:t>
      </w:r>
      <w:r>
        <w:rPr>
          <w:rFonts w:ascii="Times New Roman" w:hAnsi="Times New Roman" w:eastAsia="仿宋_GB2312"/>
          <w:kern w:val="4"/>
          <w:sz w:val="30"/>
          <w:szCs w:val="30"/>
        </w:rPr>
        <w:t>两线汇集的布局形态</w:t>
      </w:r>
      <w:r>
        <w:rPr>
          <w:rFonts w:hint="eastAsia" w:ascii="Times New Roman" w:hAnsi="Times New Roman" w:eastAsia="仿宋_GB2312"/>
          <w:kern w:val="4"/>
          <w:sz w:val="30"/>
          <w:szCs w:val="30"/>
        </w:rPr>
        <w:t>。通过镇宣高铁快速辐射苏中、苏北、皖南、江西；通过宁杭城际高铁快速到达杭州、宁波，届时溧水</w:t>
      </w:r>
      <w:r>
        <w:rPr>
          <w:rFonts w:ascii="Times New Roman" w:hAnsi="Times New Roman" w:eastAsia="仿宋_GB2312"/>
          <w:kern w:val="4"/>
          <w:sz w:val="30"/>
          <w:szCs w:val="30"/>
        </w:rPr>
        <w:t>将</w:t>
      </w:r>
      <w:r>
        <w:rPr>
          <w:rFonts w:hint="eastAsia" w:ascii="Times New Roman" w:hAnsi="Times New Roman" w:eastAsia="仿宋_GB2312"/>
          <w:kern w:val="4"/>
          <w:sz w:val="30"/>
          <w:szCs w:val="30"/>
        </w:rPr>
        <w:t>进一步</w:t>
      </w:r>
      <w:r>
        <w:rPr>
          <w:rFonts w:ascii="Times New Roman" w:hAnsi="Times New Roman" w:eastAsia="仿宋_GB2312"/>
          <w:kern w:val="4"/>
          <w:sz w:val="30"/>
          <w:szCs w:val="30"/>
        </w:rPr>
        <w:t>融入</w:t>
      </w:r>
      <w:r>
        <w:rPr>
          <w:rFonts w:hint="eastAsia" w:ascii="Times New Roman" w:hAnsi="Times New Roman" w:eastAsia="仿宋_GB2312"/>
          <w:kern w:val="4"/>
          <w:sz w:val="30"/>
          <w:szCs w:val="30"/>
        </w:rPr>
        <w:t>区域</w:t>
      </w:r>
      <w:r>
        <w:rPr>
          <w:rFonts w:ascii="Times New Roman" w:hAnsi="Times New Roman" w:eastAsia="仿宋_GB2312"/>
          <w:kern w:val="4"/>
          <w:sz w:val="30"/>
          <w:szCs w:val="30"/>
        </w:rPr>
        <w:t>发展</w:t>
      </w:r>
      <w:r>
        <w:rPr>
          <w:rFonts w:hint="eastAsia" w:ascii="Times New Roman" w:hAnsi="Times New Roman" w:eastAsia="仿宋_GB2312"/>
          <w:kern w:val="4"/>
          <w:sz w:val="30"/>
          <w:szCs w:val="30"/>
        </w:rPr>
        <w:t>。“十三五”期间</w:t>
      </w:r>
      <w:r>
        <w:rPr>
          <w:rFonts w:ascii="Times New Roman" w:hAnsi="Times New Roman" w:eastAsia="仿宋_GB2312"/>
          <w:kern w:val="4"/>
          <w:sz w:val="30"/>
          <w:szCs w:val="30"/>
        </w:rPr>
        <w:t>，积极</w:t>
      </w:r>
      <w:r>
        <w:rPr>
          <w:rFonts w:hint="eastAsia" w:ascii="Times New Roman" w:hAnsi="Times New Roman" w:eastAsia="仿宋_GB2312"/>
          <w:kern w:val="4"/>
          <w:sz w:val="30"/>
          <w:szCs w:val="30"/>
        </w:rPr>
        <w:t>应</w:t>
      </w:r>
      <w:r>
        <w:rPr>
          <w:rFonts w:ascii="Times New Roman" w:hAnsi="Times New Roman" w:eastAsia="仿宋_GB2312"/>
          <w:kern w:val="4"/>
          <w:sz w:val="30"/>
          <w:szCs w:val="30"/>
        </w:rPr>
        <w:t>积极</w:t>
      </w:r>
      <w:r>
        <w:rPr>
          <w:rFonts w:hint="eastAsia" w:ascii="Times New Roman" w:hAnsi="Times New Roman" w:eastAsia="仿宋_GB2312"/>
          <w:kern w:val="4"/>
          <w:sz w:val="30"/>
          <w:szCs w:val="30"/>
        </w:rPr>
        <w:t>推进</w:t>
      </w:r>
      <w:r>
        <w:rPr>
          <w:rFonts w:ascii="Times New Roman" w:hAnsi="Times New Roman" w:eastAsia="仿宋_GB2312"/>
          <w:kern w:val="4"/>
          <w:sz w:val="30"/>
          <w:szCs w:val="30"/>
        </w:rPr>
        <w:t>溧水综合客运枢纽建设，</w:t>
      </w:r>
      <w:r>
        <w:rPr>
          <w:rFonts w:hint="eastAsia" w:ascii="Times New Roman" w:hAnsi="Times New Roman" w:eastAsia="仿宋_GB2312"/>
          <w:kern w:val="4"/>
          <w:sz w:val="30"/>
          <w:szCs w:val="30"/>
        </w:rPr>
        <w:t>同时</w:t>
      </w:r>
      <w:r>
        <w:rPr>
          <w:rFonts w:ascii="Times New Roman" w:hAnsi="Times New Roman" w:eastAsia="仿宋_GB2312"/>
          <w:kern w:val="4"/>
          <w:sz w:val="30"/>
          <w:szCs w:val="30"/>
        </w:rPr>
        <w:t>依托</w:t>
      </w:r>
      <w:r>
        <w:rPr>
          <w:rFonts w:hint="eastAsia" w:ascii="Times New Roman" w:hAnsi="Times New Roman" w:eastAsia="仿宋_GB2312"/>
          <w:kern w:val="4"/>
          <w:sz w:val="30"/>
          <w:szCs w:val="30"/>
        </w:rPr>
        <w:t>溧水</w:t>
      </w:r>
      <w:r>
        <w:rPr>
          <w:rFonts w:ascii="Times New Roman" w:hAnsi="Times New Roman" w:eastAsia="仿宋_GB2312"/>
          <w:kern w:val="4"/>
          <w:sz w:val="30"/>
          <w:szCs w:val="30"/>
        </w:rPr>
        <w:t>铁路综合客运枢纽建设，完善快速路、专用集散道路、社会停车场等集疏运设施配套，提升枢纽集疏运效率，强化“一体化”综合客运枢纽功能。</w:t>
      </w:r>
    </w:p>
    <w:p>
      <w:pPr>
        <w:spacing w:afterLines="50" w:line="560" w:lineRule="exact"/>
        <w:ind w:firstLine="602"/>
        <w:rPr>
          <w:rFonts w:ascii="Times New Roman" w:hAnsi="Times New Roman" w:eastAsia="仿宋_GB2312"/>
          <w:kern w:val="4"/>
          <w:sz w:val="30"/>
          <w:szCs w:val="30"/>
        </w:rPr>
      </w:pPr>
      <w:r>
        <w:rPr>
          <w:rFonts w:hint="eastAsia" w:ascii="Times New Roman" w:hAnsi="Times New Roman" w:eastAsia="仿宋_GB2312"/>
          <w:b/>
          <w:kern w:val="4"/>
          <w:sz w:val="30"/>
          <w:szCs w:val="30"/>
        </w:rPr>
        <w:t>推进禄口机场集疏运建设。</w:t>
      </w:r>
      <w:r>
        <w:rPr>
          <w:rFonts w:hint="eastAsia" w:ascii="Times New Roman" w:hAnsi="Times New Roman" w:eastAsia="仿宋_GB2312"/>
          <w:kern w:val="4"/>
          <w:sz w:val="30"/>
          <w:szCs w:val="30"/>
        </w:rPr>
        <w:t>以禄口国际机场为核心，整合区域交通资源，建设陆空多式联运，实现陆路交通与机场无缝对接。“十三五”期间</w:t>
      </w:r>
      <w:r>
        <w:rPr>
          <w:rFonts w:ascii="Times New Roman" w:hAnsi="Times New Roman" w:eastAsia="仿宋_GB2312"/>
          <w:kern w:val="4"/>
          <w:sz w:val="30"/>
          <w:szCs w:val="30"/>
        </w:rPr>
        <w:t>，</w:t>
      </w:r>
      <w:r>
        <w:rPr>
          <w:rFonts w:hint="eastAsia" w:ascii="Times New Roman" w:hAnsi="Times New Roman" w:eastAsia="仿宋_GB2312"/>
          <w:kern w:val="4"/>
          <w:sz w:val="30"/>
          <w:szCs w:val="30"/>
        </w:rPr>
        <w:t>完成</w:t>
      </w:r>
      <w:r>
        <w:rPr>
          <w:rFonts w:ascii="Times New Roman" w:hAnsi="Times New Roman" w:eastAsia="仿宋_GB2312"/>
          <w:kern w:val="4"/>
          <w:sz w:val="30"/>
          <w:szCs w:val="30"/>
        </w:rPr>
        <w:t>轨道</w:t>
      </w:r>
      <w:r>
        <w:rPr>
          <w:rFonts w:hint="eastAsia" w:ascii="Times New Roman" w:hAnsi="Times New Roman" w:eastAsia="仿宋_GB2312"/>
          <w:kern w:val="4"/>
          <w:sz w:val="30"/>
          <w:szCs w:val="30"/>
        </w:rPr>
        <w:t>S7、S1建设</w:t>
      </w:r>
      <w:r>
        <w:rPr>
          <w:rFonts w:ascii="Times New Roman" w:hAnsi="Times New Roman" w:eastAsia="仿宋_GB2312"/>
          <w:kern w:val="4"/>
          <w:sz w:val="30"/>
          <w:szCs w:val="30"/>
        </w:rPr>
        <w:t>、</w:t>
      </w:r>
      <w:r>
        <w:rPr>
          <w:rFonts w:hint="eastAsia" w:ascii="Times New Roman" w:hAnsi="Times New Roman" w:eastAsia="仿宋_GB2312"/>
          <w:kern w:val="4"/>
          <w:sz w:val="30"/>
          <w:szCs w:val="30"/>
        </w:rPr>
        <w:t>争取尽快完成</w:t>
      </w:r>
      <w:r>
        <w:rPr>
          <w:rFonts w:ascii="Times New Roman" w:hAnsi="Times New Roman" w:eastAsia="仿宋_GB2312"/>
          <w:kern w:val="4"/>
          <w:sz w:val="30"/>
          <w:szCs w:val="30"/>
        </w:rPr>
        <w:t>S204</w:t>
      </w:r>
      <w:r>
        <w:rPr>
          <w:rFonts w:hint="eastAsia" w:ascii="Times New Roman" w:hAnsi="Times New Roman" w:eastAsia="仿宋_GB2312"/>
          <w:kern w:val="4"/>
          <w:sz w:val="30"/>
          <w:szCs w:val="30"/>
        </w:rPr>
        <w:t>改扩建，S340、</w:t>
      </w:r>
      <w:r>
        <w:rPr>
          <w:rFonts w:ascii="Times New Roman" w:hAnsi="Times New Roman" w:eastAsia="仿宋_GB2312"/>
          <w:kern w:val="4"/>
          <w:sz w:val="30"/>
          <w:szCs w:val="30"/>
        </w:rPr>
        <w:t>滨淮</w:t>
      </w:r>
      <w:r>
        <w:rPr>
          <w:rFonts w:hint="eastAsia" w:ascii="Times New Roman" w:hAnsi="Times New Roman" w:eastAsia="仿宋_GB2312"/>
          <w:kern w:val="4"/>
          <w:sz w:val="30"/>
          <w:szCs w:val="30"/>
        </w:rPr>
        <w:t>大道等；</w:t>
      </w:r>
      <w:r>
        <w:rPr>
          <w:rFonts w:ascii="Times New Roman" w:hAnsi="Times New Roman" w:eastAsia="仿宋_GB2312"/>
          <w:kern w:val="4"/>
          <w:sz w:val="30"/>
          <w:szCs w:val="30"/>
        </w:rPr>
        <w:t>开展</w:t>
      </w:r>
      <w:r>
        <w:rPr>
          <w:rFonts w:hint="eastAsia" w:ascii="Times New Roman" w:hAnsi="Times New Roman" w:eastAsia="仿宋_GB2312"/>
          <w:kern w:val="4"/>
          <w:sz w:val="30"/>
          <w:szCs w:val="30"/>
        </w:rPr>
        <w:t>扬马</w:t>
      </w:r>
      <w:r>
        <w:rPr>
          <w:rFonts w:ascii="Times New Roman" w:hAnsi="Times New Roman" w:eastAsia="仿宋_GB2312"/>
          <w:kern w:val="4"/>
          <w:sz w:val="30"/>
          <w:szCs w:val="30"/>
        </w:rPr>
        <w:t>城际、宁高新通道、S243</w:t>
      </w:r>
      <w:r>
        <w:rPr>
          <w:rFonts w:hint="eastAsia" w:ascii="Times New Roman" w:hAnsi="Times New Roman" w:eastAsia="仿宋_GB2312"/>
          <w:kern w:val="4"/>
          <w:sz w:val="30"/>
          <w:szCs w:val="30"/>
        </w:rPr>
        <w:t>省道快速化</w:t>
      </w:r>
      <w:r>
        <w:rPr>
          <w:rFonts w:ascii="Times New Roman" w:hAnsi="Times New Roman" w:eastAsia="仿宋_GB2312"/>
          <w:kern w:val="4"/>
          <w:sz w:val="30"/>
          <w:szCs w:val="30"/>
        </w:rPr>
        <w:t>前期研究。</w:t>
      </w:r>
    </w:p>
    <w:p>
      <w:pPr>
        <w:pBdr>
          <w:top w:val="single" w:color="auto" w:sz="4" w:space="1"/>
          <w:left w:val="single" w:color="auto" w:sz="4" w:space="4"/>
          <w:bottom w:val="single" w:color="auto" w:sz="4" w:space="1"/>
          <w:right w:val="single" w:color="auto" w:sz="4" w:space="4"/>
        </w:pBdr>
        <w:shd w:val="pct10" w:color="auto" w:fill="auto"/>
        <w:spacing w:line="560" w:lineRule="exact"/>
        <w:ind w:firstLine="0" w:firstLineChars="0"/>
        <w:jc w:val="center"/>
        <w:rPr>
          <w:rFonts w:ascii="楷体" w:hAnsi="楷体" w:eastAsia="楷体"/>
          <w:b/>
          <w:kern w:val="4"/>
          <w:sz w:val="24"/>
        </w:rPr>
      </w:pPr>
      <w:r>
        <w:rPr>
          <w:rFonts w:hint="eastAsia" w:ascii="楷体" w:hAnsi="楷体" w:eastAsia="楷体"/>
          <w:b/>
          <w:kern w:val="4"/>
          <w:sz w:val="24"/>
        </w:rPr>
        <w:t>【专栏：南京空港枢纽经济区】</w:t>
      </w:r>
    </w:p>
    <w:p>
      <w:pPr>
        <w:pBdr>
          <w:top w:val="single" w:color="auto" w:sz="4" w:space="1"/>
          <w:left w:val="single" w:color="auto" w:sz="4" w:space="4"/>
          <w:bottom w:val="single" w:color="auto" w:sz="4" w:space="1"/>
          <w:right w:val="single" w:color="auto" w:sz="4" w:space="4"/>
        </w:pBdr>
        <w:shd w:val="pct10" w:color="auto" w:fill="auto"/>
        <w:spacing w:line="360" w:lineRule="auto"/>
        <w:ind w:firstLine="420"/>
        <w:rPr>
          <w:rFonts w:ascii="楷体" w:hAnsi="楷体" w:eastAsia="楷体"/>
          <w:kern w:val="4"/>
          <w:sz w:val="21"/>
          <w:szCs w:val="21"/>
        </w:rPr>
      </w:pPr>
      <w:r>
        <w:rPr>
          <w:rFonts w:hint="eastAsia" w:ascii="楷体" w:hAnsi="楷体" w:eastAsia="楷体"/>
          <w:kern w:val="4"/>
          <w:sz w:val="21"/>
          <w:szCs w:val="21"/>
        </w:rPr>
        <w:t>南京空港枢纽经济区规划范围包括南京禄口国际机场、江宁区的禄口街道和横溪街道，以及溧水区的柘塘街道和永阳街道等，规划控制面积约</w:t>
      </w:r>
      <w:r>
        <w:rPr>
          <w:rFonts w:ascii="楷体" w:hAnsi="楷体" w:eastAsia="楷体"/>
          <w:kern w:val="4"/>
          <w:sz w:val="21"/>
          <w:szCs w:val="21"/>
        </w:rPr>
        <w:t>473</w:t>
      </w:r>
      <w:r>
        <w:rPr>
          <w:rFonts w:hint="eastAsia" w:ascii="楷体" w:hAnsi="楷体" w:eastAsia="楷体"/>
          <w:kern w:val="4"/>
          <w:sz w:val="21"/>
          <w:szCs w:val="21"/>
        </w:rPr>
        <w:t>平方公里，其中开发建设用地约</w:t>
      </w:r>
      <w:r>
        <w:rPr>
          <w:rFonts w:ascii="楷体" w:hAnsi="楷体" w:eastAsia="楷体"/>
          <w:kern w:val="4"/>
          <w:sz w:val="21"/>
          <w:szCs w:val="21"/>
        </w:rPr>
        <w:t>120</w:t>
      </w:r>
      <w:r>
        <w:rPr>
          <w:rFonts w:hint="eastAsia" w:ascii="楷体" w:hAnsi="楷体" w:eastAsia="楷体"/>
          <w:kern w:val="4"/>
          <w:sz w:val="21"/>
          <w:szCs w:val="21"/>
        </w:rPr>
        <w:t>平方公里。根据规划到</w:t>
      </w:r>
      <w:r>
        <w:rPr>
          <w:rFonts w:ascii="楷体" w:hAnsi="楷体" w:eastAsia="楷体"/>
          <w:kern w:val="4"/>
          <w:sz w:val="21"/>
          <w:szCs w:val="21"/>
        </w:rPr>
        <w:t>2020年，</w:t>
      </w:r>
      <w:r>
        <w:rPr>
          <w:rFonts w:hint="eastAsia" w:ascii="楷体" w:hAnsi="楷体" w:eastAsia="楷体"/>
          <w:kern w:val="4"/>
          <w:sz w:val="21"/>
          <w:szCs w:val="21"/>
        </w:rPr>
        <w:t>南京禄口机场将成为</w:t>
      </w:r>
      <w:r>
        <w:rPr>
          <w:rFonts w:hint="eastAsia" w:ascii="楷体" w:hAnsi="楷体" w:eastAsia="楷体" w:cs="楷体"/>
          <w:kern w:val="4"/>
          <w:sz w:val="21"/>
          <w:szCs w:val="21"/>
        </w:rPr>
        <w:t>建成面向世界、服务全国、辐射长江流域和中西部地区的综合枢纽。</w:t>
      </w:r>
      <w:r>
        <w:rPr>
          <w:rFonts w:hint="eastAsia" w:ascii="楷体" w:hAnsi="楷体" w:eastAsia="楷体"/>
          <w:kern w:val="4"/>
          <w:sz w:val="21"/>
          <w:szCs w:val="21"/>
        </w:rPr>
        <w:t>为强化航空枢纽功能，“十三五”期间</w:t>
      </w:r>
      <w:r>
        <w:rPr>
          <w:rFonts w:ascii="楷体" w:hAnsi="楷体" w:eastAsia="楷体"/>
          <w:kern w:val="4"/>
          <w:sz w:val="21"/>
          <w:szCs w:val="21"/>
        </w:rPr>
        <w:t>，</w:t>
      </w:r>
      <w:r>
        <w:rPr>
          <w:rFonts w:hint="eastAsia" w:ascii="楷体" w:hAnsi="楷体" w:eastAsia="楷体"/>
          <w:kern w:val="4"/>
          <w:sz w:val="21"/>
          <w:szCs w:val="21"/>
        </w:rPr>
        <w:t>建设形成“畅达、统筹、生态”的综合交通运输体系。</w:t>
      </w:r>
    </w:p>
    <w:p>
      <w:pPr>
        <w:pBdr>
          <w:top w:val="single" w:color="auto" w:sz="4" w:space="1"/>
          <w:left w:val="single" w:color="auto" w:sz="4" w:space="4"/>
          <w:bottom w:val="single" w:color="auto" w:sz="4" w:space="1"/>
          <w:right w:val="single" w:color="auto" w:sz="4" w:space="4"/>
        </w:pBdr>
        <w:shd w:val="pct10" w:color="auto" w:fill="auto"/>
        <w:autoSpaceDE/>
        <w:autoSpaceDN/>
        <w:adjustRightInd w:val="0"/>
        <w:snapToGrid w:val="0"/>
        <w:spacing w:line="360" w:lineRule="auto"/>
        <w:ind w:firstLine="436"/>
        <w:rPr>
          <w:rFonts w:ascii="楷体" w:hAnsi="楷体" w:eastAsia="楷体" w:cs="宋体"/>
          <w:spacing w:val="4"/>
          <w:kern w:val="4"/>
          <w:sz w:val="21"/>
          <w:szCs w:val="21"/>
          <w:lang w:val="zh-CN"/>
        </w:rPr>
      </w:pPr>
      <w:r>
        <w:rPr>
          <w:rFonts w:hint="eastAsia" w:ascii="楷体" w:hAnsi="楷体" w:eastAsia="楷体" w:cs="宋体"/>
          <w:b/>
          <w:spacing w:val="4"/>
          <w:kern w:val="4"/>
          <w:sz w:val="21"/>
          <w:szCs w:val="21"/>
          <w:lang w:val="zh-CN"/>
        </w:rPr>
        <w:t>完善综合交通体系。</w:t>
      </w:r>
      <w:r>
        <w:rPr>
          <w:rFonts w:hint="eastAsia" w:ascii="楷体" w:hAnsi="楷体" w:eastAsia="楷体" w:cs="宋体"/>
          <w:spacing w:val="4"/>
          <w:kern w:val="4"/>
          <w:sz w:val="21"/>
          <w:szCs w:val="21"/>
          <w:lang w:val="zh-CN"/>
        </w:rPr>
        <w:t>以禄口国际机场为核心，整合区域交通资源，建设多式联运、高效快捷的交通体系，实现陆路交通与机场无缝对接，实现空港、高速铁路、城际轨道、城市轨道、公路客运、城市公交有机融合。统筹规划各种交通方式，大力发展城市公交，加快完善机场内外的公共停车场、客运枢纽站场和货运物流站场等静态交通设施，推广使用新能源汽车，推广绿色出行。</w:t>
      </w:r>
    </w:p>
    <w:p>
      <w:pPr>
        <w:pBdr>
          <w:top w:val="single" w:color="auto" w:sz="4" w:space="1"/>
          <w:left w:val="single" w:color="auto" w:sz="4" w:space="4"/>
          <w:bottom w:val="single" w:color="auto" w:sz="4" w:space="1"/>
          <w:right w:val="single" w:color="auto" w:sz="4" w:space="4"/>
        </w:pBdr>
        <w:shd w:val="pct10" w:color="auto" w:fill="auto"/>
        <w:autoSpaceDE/>
        <w:autoSpaceDN/>
        <w:adjustRightInd w:val="0"/>
        <w:snapToGrid w:val="0"/>
        <w:spacing w:line="360" w:lineRule="auto"/>
        <w:ind w:firstLine="436"/>
        <w:rPr>
          <w:rFonts w:ascii="楷体" w:hAnsi="楷体" w:eastAsia="楷体" w:cs="宋体"/>
          <w:spacing w:val="4"/>
          <w:kern w:val="4"/>
          <w:sz w:val="21"/>
          <w:szCs w:val="21"/>
          <w:lang w:val="zh-CN"/>
        </w:rPr>
      </w:pPr>
      <w:r>
        <w:rPr>
          <w:rFonts w:hint="eastAsia" w:ascii="楷体" w:hAnsi="楷体" w:eastAsia="楷体" w:cs="宋体"/>
          <w:b/>
          <w:spacing w:val="4"/>
          <w:kern w:val="4"/>
          <w:sz w:val="21"/>
          <w:szCs w:val="21"/>
          <w:lang w:val="zh-CN"/>
        </w:rPr>
        <w:t>加快推进枢纽经济区内部路网建设。</w:t>
      </w:r>
      <w:r>
        <w:rPr>
          <w:rFonts w:hint="eastAsia" w:ascii="楷体" w:hAnsi="楷体" w:eastAsia="楷体" w:cs="宋体"/>
          <w:spacing w:val="4"/>
          <w:kern w:val="4"/>
          <w:sz w:val="21"/>
          <w:szCs w:val="21"/>
          <w:lang w:val="zh-CN"/>
        </w:rPr>
        <w:t>加强与机场场区内部路网对接的道路系统以及机场客货集疏运体系的建设。加快建设以机场为中心，高快速外环线和与外部衔接的放射状快速通道，形成“环路</w:t>
      </w:r>
      <w:r>
        <w:rPr>
          <w:rFonts w:ascii="楷体" w:hAnsi="楷体" w:eastAsia="楷体" w:cs="宋体"/>
          <w:spacing w:val="4"/>
          <w:kern w:val="4"/>
          <w:sz w:val="21"/>
          <w:szCs w:val="21"/>
          <w:lang w:val="zh-CN"/>
        </w:rPr>
        <w:t>+</w:t>
      </w:r>
      <w:r>
        <w:rPr>
          <w:rFonts w:hint="eastAsia" w:ascii="楷体" w:hAnsi="楷体" w:eastAsia="楷体" w:cs="宋体"/>
          <w:spacing w:val="4"/>
          <w:kern w:val="4"/>
          <w:sz w:val="21"/>
          <w:szCs w:val="21"/>
          <w:lang w:val="zh-CN"/>
        </w:rPr>
        <w:t>放射线”为骨架的快速路网，完善环机场快速路与枢纽经济区北部、南部两片区的路网连通，加快推进各功能片区内部主干道、次干道、支路网建设，提高路网密度。</w:t>
      </w:r>
    </w:p>
    <w:p>
      <w:pPr>
        <w:pBdr>
          <w:top w:val="single" w:color="auto" w:sz="4" w:space="1"/>
          <w:left w:val="single" w:color="auto" w:sz="4" w:space="4"/>
          <w:bottom w:val="single" w:color="auto" w:sz="4" w:space="1"/>
          <w:right w:val="single" w:color="auto" w:sz="4" w:space="4"/>
        </w:pBdr>
        <w:shd w:val="pct10" w:color="auto" w:fill="auto"/>
        <w:autoSpaceDE/>
        <w:autoSpaceDN/>
        <w:adjustRightInd w:val="0"/>
        <w:snapToGrid w:val="0"/>
        <w:spacing w:line="360" w:lineRule="auto"/>
        <w:ind w:firstLine="436"/>
        <w:rPr>
          <w:rFonts w:ascii="楷体" w:hAnsi="楷体" w:eastAsia="楷体" w:cs="宋体"/>
          <w:spacing w:val="4"/>
          <w:kern w:val="4"/>
          <w:sz w:val="21"/>
          <w:szCs w:val="21"/>
          <w:lang w:val="zh-CN"/>
        </w:rPr>
      </w:pPr>
      <w:r>
        <w:rPr>
          <w:rFonts w:hint="eastAsia" w:ascii="楷体" w:hAnsi="楷体" w:eastAsia="楷体" w:cs="宋体"/>
          <w:b/>
          <w:spacing w:val="4"/>
          <w:kern w:val="4"/>
          <w:sz w:val="21"/>
          <w:szCs w:val="21"/>
          <w:lang w:val="zh-CN"/>
        </w:rPr>
        <w:t>完善枢纽经济区周边通道。</w:t>
      </w:r>
      <w:r>
        <w:rPr>
          <w:rFonts w:hint="eastAsia" w:ascii="楷体" w:hAnsi="楷体" w:eastAsia="楷体" w:cs="宋体"/>
          <w:spacing w:val="4"/>
          <w:kern w:val="4"/>
          <w:sz w:val="21"/>
          <w:szCs w:val="21"/>
          <w:lang w:val="zh-CN"/>
        </w:rPr>
        <w:t>公路系统以高快速路、干线公路为主，便捷联通南京都市圈各中心城市和核心区内各功能组团。加快建设由溧马高速公路、机场西通道、南京公路三环江南段、机场高速公路、省道243组成的机场外围高快速路环线和以宁高公路、禄铜公路，张常溧公路、将军路、保税大道组成的干线公路环线；推进宁宣高速高淳段、宁杭高速一期扩建及宁高新通道、省道</w:t>
      </w:r>
      <w:r>
        <w:rPr>
          <w:rFonts w:ascii="楷体" w:hAnsi="楷体" w:eastAsia="楷体" w:cs="宋体"/>
          <w:spacing w:val="4"/>
          <w:kern w:val="4"/>
          <w:sz w:val="21"/>
          <w:szCs w:val="21"/>
          <w:lang w:val="zh-CN"/>
        </w:rPr>
        <w:t>S243</w:t>
      </w:r>
      <w:r>
        <w:rPr>
          <w:rFonts w:hint="eastAsia" w:ascii="楷体" w:hAnsi="楷体" w:eastAsia="楷体" w:cs="宋体"/>
          <w:spacing w:val="4"/>
          <w:kern w:val="4"/>
          <w:sz w:val="21"/>
          <w:szCs w:val="21"/>
          <w:lang w:val="zh-CN"/>
        </w:rPr>
        <w:t>镇江段快速化改造，布局完善机场对外“二横三纵两联”高快速路网络布局。完善枢纽经济区外围通道，加快推进省道002、省道340建设；争取尽快实施省道204改扩建、南京至宣城高速公路建设；加快推进126省道机场西通道前期工作。</w:t>
      </w:r>
    </w:p>
    <w:p>
      <w:pPr>
        <w:pBdr>
          <w:top w:val="single" w:color="auto" w:sz="4" w:space="1"/>
          <w:left w:val="single" w:color="auto" w:sz="4" w:space="4"/>
          <w:bottom w:val="single" w:color="auto" w:sz="4" w:space="1"/>
          <w:right w:val="single" w:color="auto" w:sz="4" w:space="4"/>
        </w:pBdr>
        <w:shd w:val="pct10" w:color="auto" w:fill="auto"/>
        <w:autoSpaceDE/>
        <w:autoSpaceDN/>
        <w:adjustRightInd w:val="0"/>
        <w:snapToGrid w:val="0"/>
        <w:spacing w:line="360" w:lineRule="auto"/>
        <w:ind w:firstLine="436"/>
        <w:rPr>
          <w:rFonts w:ascii="楷体" w:hAnsi="楷体" w:eastAsia="楷体" w:cs="宋体"/>
          <w:spacing w:val="4"/>
          <w:kern w:val="4"/>
          <w:sz w:val="21"/>
          <w:szCs w:val="21"/>
          <w:lang w:val="zh-CN"/>
        </w:rPr>
      </w:pPr>
      <w:r>
        <w:rPr>
          <w:rFonts w:hint="eastAsia" w:ascii="楷体" w:hAnsi="楷体" w:eastAsia="楷体" w:cs="宋体"/>
          <w:spacing w:val="4"/>
          <w:kern w:val="4"/>
          <w:sz w:val="21"/>
          <w:szCs w:val="21"/>
          <w:lang w:val="zh-CN"/>
        </w:rPr>
        <w:t>轨道交通系统，形成“一横一纵”的轨道交通格局。“一横”为Z1线（扬马城际铁路），联系马鞍山与镇江方向，在禄口机场设站，与城市轨道交通、地面常规交通、航空交通形成换乘枢纽。“一纵”为宁高城际轨道交通一期（机场线），联系南京南站和禄口国际机场，宁高城际二期、宁溧城际分别延伸至高淳、溧水。预留禄口机场连接宁杭城际铁路联络线。</w:t>
      </w:r>
    </w:p>
    <w:p>
      <w:pPr>
        <w:spacing w:line="720" w:lineRule="exact"/>
        <w:ind w:firstLine="0" w:firstLineChars="0"/>
        <w:outlineLvl w:val="2"/>
        <w:rPr>
          <w:rFonts w:ascii="Times New Roman" w:hAnsi="Times New Roman" w:eastAsia="黑体"/>
          <w:kern w:val="4"/>
          <w:sz w:val="30"/>
          <w:szCs w:val="30"/>
        </w:rPr>
      </w:pPr>
      <w:bookmarkStart w:id="44" w:name="_Toc430076922"/>
      <w:bookmarkStart w:id="45" w:name="_Toc438123202"/>
      <w:r>
        <w:rPr>
          <w:rFonts w:ascii="Times New Roman" w:hAnsi="Times New Roman" w:eastAsia="黑体"/>
          <w:kern w:val="4"/>
          <w:sz w:val="30"/>
          <w:szCs w:val="30"/>
        </w:rPr>
        <w:t>4.1.3</w:t>
      </w:r>
      <w:bookmarkEnd w:id="44"/>
      <w:r>
        <w:rPr>
          <w:rFonts w:hint="eastAsia" w:ascii="Times New Roman" w:hAnsi="Times New Roman" w:eastAsia="黑体"/>
          <w:kern w:val="4"/>
          <w:sz w:val="30"/>
          <w:szCs w:val="30"/>
        </w:rPr>
        <w:t>积极推进养护现代化</w:t>
      </w:r>
      <w:bookmarkEnd w:id="45"/>
    </w:p>
    <w:p>
      <w:pPr>
        <w:spacing w:line="720" w:lineRule="exact"/>
        <w:ind w:firstLine="600"/>
        <w:rPr>
          <w:rFonts w:ascii="Times New Roman" w:hAnsi="Times New Roman" w:eastAsia="黑体"/>
          <w:kern w:val="4"/>
          <w:sz w:val="30"/>
          <w:szCs w:val="30"/>
        </w:rPr>
      </w:pPr>
      <w:r>
        <w:rPr>
          <w:rFonts w:hint="eastAsia" w:ascii="Times New Roman" w:hAnsi="Times New Roman" w:eastAsia="黑体"/>
          <w:kern w:val="4"/>
          <w:sz w:val="30"/>
          <w:szCs w:val="30"/>
        </w:rPr>
        <w:t>（</w:t>
      </w:r>
      <w:r>
        <w:rPr>
          <w:rFonts w:ascii="Times New Roman" w:hAnsi="Times New Roman" w:eastAsia="黑体"/>
          <w:kern w:val="4"/>
          <w:sz w:val="30"/>
          <w:szCs w:val="30"/>
        </w:rPr>
        <w:t>1</w:t>
      </w:r>
      <w:r>
        <w:rPr>
          <w:rFonts w:hint="eastAsia" w:ascii="Times New Roman" w:hAnsi="Times New Roman" w:eastAsia="黑体"/>
          <w:kern w:val="4"/>
          <w:sz w:val="30"/>
          <w:szCs w:val="30"/>
        </w:rPr>
        <w:t>）公路基础设施养护</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建立基础设施管理养护决策支持系统。积极推行科学养护和精细化养护，加强预防性、及时性与经常性养护。编制基础设施大、中修养护规划，统一规划实施养护大中修工程。坚持和完善公路检查制度，建立科学、合理的公路养护质量、服务水平检查评定标准体系。</w:t>
      </w:r>
    </w:p>
    <w:p>
      <w:pPr>
        <w:pStyle w:val="26"/>
        <w:spacing w:before="0" w:beforeAutospacing="0" w:after="0" w:afterAutospacing="0" w:line="560" w:lineRule="exact"/>
        <w:ind w:firstLine="601"/>
        <w:rPr>
          <w:rFonts w:ascii="Times New Roman" w:hAnsi="Times New Roman" w:eastAsia="仿宋_GB2312" w:cs="Times New Roman"/>
          <w:kern w:val="4"/>
          <w:sz w:val="30"/>
          <w:szCs w:val="30"/>
        </w:rPr>
      </w:pPr>
      <w:r>
        <w:rPr>
          <w:rFonts w:ascii="Times New Roman" w:hAnsi="Times New Roman" w:eastAsia="仿宋_GB2312" w:cs="Times New Roman"/>
          <w:kern w:val="4"/>
          <w:sz w:val="30"/>
          <w:szCs w:val="30"/>
        </w:rPr>
        <w:t>深化公路养护机制改革。根据部省关于深化公路养护体制机制改革总体部署和要求，按照权责统一、分级管理、强化监管的改革思路，进一步明确和落实责任主体，理顺公路养管体制，不断加大公路养护资金投入，提升公路养管水平、养护质量和养护效率，确保公路完好畅通，同时，研究探索推进农村公路养护市场化。</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提高养护作业机械化、专业化水平。进一步加大</w:t>
      </w:r>
      <w:r>
        <w:rPr>
          <w:rFonts w:hint="eastAsia" w:ascii="Times New Roman" w:hAnsi="Times New Roman" w:eastAsia="仿宋_GB2312"/>
          <w:kern w:val="4"/>
          <w:sz w:val="30"/>
          <w:szCs w:val="30"/>
        </w:rPr>
        <w:t>区级</w:t>
      </w:r>
      <w:r>
        <w:rPr>
          <w:rFonts w:ascii="Times New Roman" w:hAnsi="Times New Roman" w:eastAsia="仿宋_GB2312"/>
          <w:kern w:val="4"/>
          <w:sz w:val="30"/>
          <w:szCs w:val="30"/>
        </w:rPr>
        <w:t>配套</w:t>
      </w:r>
      <w:r>
        <w:rPr>
          <w:rFonts w:hint="eastAsia" w:ascii="Times New Roman" w:hAnsi="Times New Roman" w:eastAsia="仿宋_GB2312"/>
          <w:kern w:val="4"/>
          <w:sz w:val="30"/>
          <w:szCs w:val="30"/>
        </w:rPr>
        <w:t>养护</w:t>
      </w:r>
      <w:r>
        <w:rPr>
          <w:rFonts w:ascii="Times New Roman" w:hAnsi="Times New Roman" w:eastAsia="仿宋_GB2312"/>
          <w:kern w:val="4"/>
          <w:sz w:val="30"/>
          <w:szCs w:val="30"/>
        </w:rPr>
        <w:t>资金投入，更新养护机械，推动技术升级。加强机械化养护管理与考核，实现国省干线公路小修养护机械化作业率100%。培养能操作、会修理、善保养的养护机械队伍，实行实用性养护机械操作岗位培训。</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推进重点基础设施养护项目建设。加快干线公路养护工区布局建设，重点建设</w:t>
      </w:r>
      <w:r>
        <w:rPr>
          <w:rFonts w:hint="eastAsia" w:ascii="Times New Roman" w:hAnsi="Times New Roman" w:eastAsia="仿宋_GB2312"/>
          <w:kern w:val="4"/>
          <w:sz w:val="30"/>
          <w:szCs w:val="30"/>
        </w:rPr>
        <w:t>S</w:t>
      </w:r>
      <w:r>
        <w:rPr>
          <w:rFonts w:ascii="Times New Roman" w:hAnsi="Times New Roman" w:eastAsia="仿宋_GB2312"/>
          <w:kern w:val="4"/>
          <w:sz w:val="30"/>
          <w:szCs w:val="30"/>
        </w:rPr>
        <w:t>246和</w:t>
      </w:r>
      <w:r>
        <w:rPr>
          <w:rFonts w:hint="eastAsia" w:ascii="Times New Roman" w:hAnsi="Times New Roman" w:eastAsia="仿宋_GB2312"/>
          <w:kern w:val="4"/>
          <w:sz w:val="30"/>
          <w:szCs w:val="30"/>
        </w:rPr>
        <w:t>S</w:t>
      </w:r>
      <w:r>
        <w:rPr>
          <w:rFonts w:ascii="Times New Roman" w:hAnsi="Times New Roman" w:eastAsia="仿宋_GB2312"/>
          <w:kern w:val="4"/>
          <w:sz w:val="30"/>
          <w:szCs w:val="30"/>
        </w:rPr>
        <w:t>341二</w:t>
      </w:r>
      <w:r>
        <w:rPr>
          <w:rFonts w:hint="eastAsia" w:ascii="Times New Roman" w:hAnsi="Times New Roman" w:eastAsia="仿宋_GB2312"/>
          <w:kern w:val="4"/>
          <w:sz w:val="30"/>
          <w:szCs w:val="30"/>
        </w:rPr>
        <w:t>类</w:t>
      </w:r>
      <w:r>
        <w:rPr>
          <w:rFonts w:ascii="Times New Roman" w:hAnsi="Times New Roman" w:eastAsia="仿宋_GB2312"/>
          <w:kern w:val="4"/>
          <w:sz w:val="30"/>
          <w:szCs w:val="30"/>
        </w:rPr>
        <w:t>工区</w:t>
      </w:r>
      <w:r>
        <w:rPr>
          <w:rFonts w:hint="eastAsia" w:ascii="Times New Roman" w:hAnsi="Times New Roman" w:eastAsia="仿宋_GB2312"/>
          <w:kern w:val="4"/>
          <w:sz w:val="30"/>
          <w:szCs w:val="30"/>
        </w:rPr>
        <w:t>，</w:t>
      </w:r>
      <w:r>
        <w:rPr>
          <w:rFonts w:ascii="Times New Roman" w:hAnsi="Times New Roman" w:eastAsia="仿宋_GB2312"/>
          <w:kern w:val="4"/>
          <w:sz w:val="30"/>
          <w:szCs w:val="30"/>
        </w:rPr>
        <w:t>积极谋划城区内工区建设</w:t>
      </w:r>
      <w:r>
        <w:rPr>
          <w:rFonts w:hint="eastAsia" w:ascii="Times New Roman" w:hAnsi="Times New Roman" w:eastAsia="仿宋_GB2312"/>
          <w:kern w:val="4"/>
          <w:sz w:val="30"/>
          <w:szCs w:val="30"/>
        </w:rPr>
        <w:t>。加快推进超限检测</w:t>
      </w:r>
      <w:r>
        <w:rPr>
          <w:rFonts w:ascii="Times New Roman" w:hAnsi="Times New Roman" w:eastAsia="仿宋_GB2312"/>
          <w:kern w:val="4"/>
          <w:sz w:val="30"/>
          <w:szCs w:val="30"/>
        </w:rPr>
        <w:t>站</w:t>
      </w:r>
      <w:r>
        <w:rPr>
          <w:rFonts w:hint="eastAsia" w:ascii="Times New Roman" w:hAnsi="Times New Roman" w:eastAsia="仿宋_GB2312"/>
          <w:kern w:val="4"/>
          <w:sz w:val="30"/>
          <w:szCs w:val="30"/>
        </w:rPr>
        <w:t>、S</w:t>
      </w:r>
      <w:r>
        <w:rPr>
          <w:rFonts w:ascii="Times New Roman" w:hAnsi="Times New Roman" w:eastAsia="仿宋_GB2312"/>
          <w:kern w:val="4"/>
          <w:sz w:val="30"/>
          <w:szCs w:val="30"/>
        </w:rPr>
        <w:t>341</w:t>
      </w:r>
      <w:r>
        <w:rPr>
          <w:rFonts w:hint="eastAsia" w:ascii="Times New Roman" w:hAnsi="Times New Roman" w:eastAsia="仿宋_GB2312"/>
          <w:kern w:val="4"/>
          <w:sz w:val="30"/>
          <w:szCs w:val="30"/>
        </w:rPr>
        <w:t>收费</w:t>
      </w:r>
      <w:r>
        <w:rPr>
          <w:rFonts w:ascii="Times New Roman" w:hAnsi="Times New Roman" w:eastAsia="仿宋_GB2312"/>
          <w:kern w:val="4"/>
          <w:sz w:val="30"/>
          <w:szCs w:val="30"/>
        </w:rPr>
        <w:t>站</w:t>
      </w:r>
      <w:r>
        <w:rPr>
          <w:rFonts w:hint="eastAsia" w:ascii="Times New Roman" w:hAnsi="Times New Roman" w:eastAsia="仿宋_GB2312"/>
          <w:kern w:val="4"/>
          <w:sz w:val="30"/>
          <w:szCs w:val="30"/>
        </w:rPr>
        <w:t>建设</w:t>
      </w:r>
      <w:r>
        <w:rPr>
          <w:rFonts w:ascii="Times New Roman" w:hAnsi="Times New Roman" w:eastAsia="仿宋_GB2312"/>
          <w:kern w:val="4"/>
          <w:sz w:val="30"/>
          <w:szCs w:val="30"/>
        </w:rPr>
        <w:t>。加强桥梁养护管理，及时检查和掌握桥梁的技术状况，处治桥梁病害和消除桥梁安全隐患。</w:t>
      </w:r>
    </w:p>
    <w:p>
      <w:pPr>
        <w:spacing w:line="720" w:lineRule="exact"/>
        <w:ind w:firstLine="600"/>
        <w:rPr>
          <w:rFonts w:ascii="Times New Roman" w:hAnsi="Times New Roman" w:eastAsia="黑体"/>
          <w:kern w:val="4"/>
          <w:sz w:val="30"/>
          <w:szCs w:val="30"/>
        </w:rPr>
      </w:pPr>
      <w:r>
        <w:rPr>
          <w:rFonts w:hint="eastAsia" w:ascii="Times New Roman" w:hAnsi="Times New Roman" w:eastAsia="黑体"/>
          <w:kern w:val="4"/>
          <w:sz w:val="30"/>
          <w:szCs w:val="30"/>
        </w:rPr>
        <w:t>（</w:t>
      </w:r>
      <w:r>
        <w:rPr>
          <w:rFonts w:ascii="Times New Roman" w:hAnsi="Times New Roman" w:eastAsia="黑体"/>
          <w:kern w:val="4"/>
          <w:sz w:val="30"/>
          <w:szCs w:val="30"/>
        </w:rPr>
        <w:t>2</w:t>
      </w:r>
      <w:r>
        <w:rPr>
          <w:rFonts w:hint="eastAsia" w:ascii="Times New Roman" w:hAnsi="Times New Roman" w:eastAsia="黑体"/>
          <w:kern w:val="4"/>
          <w:sz w:val="30"/>
          <w:szCs w:val="30"/>
        </w:rPr>
        <w:t>）航道基础设施养护</w:t>
      </w:r>
    </w:p>
    <w:p>
      <w:pPr>
        <w:spacing w:line="560" w:lineRule="exact"/>
        <w:ind w:firstLine="602"/>
        <w:rPr>
          <w:rFonts w:ascii="Times New Roman" w:hAnsi="Times New Roman" w:eastAsia="仿宋_GB2312"/>
          <w:kern w:val="4"/>
          <w:sz w:val="30"/>
          <w:szCs w:val="30"/>
        </w:rPr>
      </w:pPr>
      <w:r>
        <w:rPr>
          <w:rFonts w:ascii="Times New Roman" w:hAnsi="Times New Roman" w:eastAsia="仿宋_GB2312"/>
          <w:b/>
          <w:kern w:val="4"/>
          <w:sz w:val="30"/>
          <w:szCs w:val="30"/>
        </w:rPr>
        <w:t>提高航道养护质量。</w:t>
      </w:r>
      <w:r>
        <w:rPr>
          <w:rFonts w:ascii="Times New Roman" w:hAnsi="Times New Roman" w:eastAsia="仿宋_GB2312"/>
          <w:kern w:val="4"/>
          <w:sz w:val="30"/>
          <w:szCs w:val="30"/>
        </w:rPr>
        <w:t>定期开展航道养护管理检查、考核。“十三五”期间，按要求维护辖区航道正常通航，完成天生桥河、新桥河等航道疏浚工程，确保通航保证率达到98%以上。其它航道根据运量实施动态养护。逐步实现助航导航设备的规范化、标准化以及航标管理的自动化和遥控遥测。完成秦淮河及新桥河航标改建、标志标牌新建，保证航标正常率达到99%以上，充分发挥其助航导航功能。完善养护船艇、工作船码头、养护站场等设备设施，逐步建成布局合理、功能齐全、技术先进、运行安全、适应水运现代化要求的航道养护装备和设施。</w:t>
      </w:r>
    </w:p>
    <w:p>
      <w:pPr>
        <w:spacing w:line="560" w:lineRule="exact"/>
        <w:ind w:firstLine="602"/>
        <w:rPr>
          <w:rFonts w:ascii="Times New Roman" w:hAnsi="Times New Roman" w:eastAsia="华文仿宋"/>
          <w:kern w:val="4"/>
          <w:sz w:val="30"/>
          <w:szCs w:val="30"/>
        </w:rPr>
      </w:pPr>
      <w:r>
        <w:rPr>
          <w:rFonts w:ascii="Times New Roman" w:hAnsi="Times New Roman" w:eastAsia="仿宋_GB2312"/>
          <w:b/>
          <w:kern w:val="4"/>
          <w:sz w:val="30"/>
          <w:szCs w:val="30"/>
        </w:rPr>
        <w:t>推动养护方式转型。</w:t>
      </w:r>
      <w:r>
        <w:rPr>
          <w:rFonts w:ascii="Times New Roman" w:hAnsi="Times New Roman" w:eastAsia="仿宋_GB2312"/>
          <w:kern w:val="4"/>
          <w:sz w:val="30"/>
          <w:szCs w:val="30"/>
        </w:rPr>
        <w:t>提升航道养护与管理的科技含量，推动航道服务由传统型向智能型转变，养护方式由劳动密集型向技术管理型转变。强化船闸远调站一站式服务、重点航段和重点船闸的安全监控手段、船舶智能过闸系统应用等，逐步推动航道养护工作向标准化、信息化、规范化和科学化发展。</w:t>
      </w:r>
    </w:p>
    <w:p>
      <w:pPr>
        <w:spacing w:line="960" w:lineRule="exact"/>
        <w:ind w:firstLine="0" w:firstLineChars="0"/>
        <w:outlineLvl w:val="1"/>
        <w:rPr>
          <w:rFonts w:ascii="Times New Roman" w:hAnsi="Times New Roman" w:eastAsia="黑体"/>
          <w:kern w:val="4"/>
          <w:sz w:val="32"/>
          <w:szCs w:val="28"/>
        </w:rPr>
      </w:pPr>
      <w:bookmarkStart w:id="46" w:name="_Toc429487897"/>
      <w:bookmarkStart w:id="47" w:name="_Toc438123203"/>
      <w:r>
        <w:rPr>
          <w:rFonts w:ascii="Times New Roman" w:hAnsi="Times New Roman" w:eastAsia="黑体"/>
          <w:kern w:val="4"/>
          <w:sz w:val="32"/>
          <w:szCs w:val="28"/>
        </w:rPr>
        <w:t>4.2打造便捷舒适、经济高效的交通运输服务体系</w:t>
      </w:r>
      <w:bookmarkEnd w:id="46"/>
      <w:bookmarkEnd w:id="47"/>
    </w:p>
    <w:p>
      <w:pPr>
        <w:spacing w:line="720" w:lineRule="exact"/>
        <w:ind w:firstLine="0" w:firstLineChars="0"/>
        <w:outlineLvl w:val="2"/>
        <w:rPr>
          <w:rFonts w:ascii="Times New Roman" w:hAnsi="Times New Roman" w:eastAsia="黑体"/>
          <w:kern w:val="4"/>
          <w:sz w:val="30"/>
          <w:szCs w:val="30"/>
        </w:rPr>
      </w:pPr>
      <w:bookmarkStart w:id="48" w:name="_Toc438123204"/>
      <w:bookmarkStart w:id="49" w:name="_Toc430076912"/>
      <w:r>
        <w:rPr>
          <w:rFonts w:ascii="Times New Roman" w:hAnsi="Times New Roman" w:eastAsia="黑体"/>
          <w:kern w:val="4"/>
          <w:sz w:val="30"/>
          <w:szCs w:val="30"/>
        </w:rPr>
        <w:t>4.2.1建立公共优先、选择多样的客运服务体系</w:t>
      </w:r>
      <w:bookmarkEnd w:id="48"/>
      <w:bookmarkEnd w:id="49"/>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加快建设与溧水城市发展空间格局相匹配、与经济社会发展相适应、与南京市都市圈融为一体、城乡统筹的</w:t>
      </w:r>
      <w:r>
        <w:rPr>
          <w:rFonts w:hint="eastAsia" w:ascii="Times New Roman" w:hAnsi="Times New Roman" w:eastAsia="仿宋_GB2312"/>
          <w:kern w:val="4"/>
          <w:sz w:val="30"/>
          <w:szCs w:val="30"/>
        </w:rPr>
        <w:t>客运</w:t>
      </w:r>
      <w:r>
        <w:rPr>
          <w:rFonts w:ascii="Times New Roman" w:hAnsi="Times New Roman" w:eastAsia="仿宋_GB2312"/>
          <w:kern w:val="4"/>
          <w:sz w:val="30"/>
          <w:szCs w:val="30"/>
        </w:rPr>
        <w:t>交通出行服务体系。</w:t>
      </w:r>
      <w:r>
        <w:rPr>
          <w:rFonts w:hint="eastAsia" w:ascii="Times New Roman" w:hAnsi="Times New Roman" w:eastAsia="仿宋_GB2312"/>
          <w:kern w:val="4"/>
          <w:sz w:val="30"/>
          <w:szCs w:val="30"/>
        </w:rPr>
        <w:t>努力推进城际公路客运转型，发展</w:t>
      </w:r>
      <w:r>
        <w:rPr>
          <w:rFonts w:ascii="Times New Roman" w:hAnsi="Times New Roman" w:eastAsia="仿宋_GB2312"/>
          <w:kern w:val="4"/>
          <w:sz w:val="30"/>
          <w:szCs w:val="30"/>
        </w:rPr>
        <w:t>更具</w:t>
      </w:r>
      <w:r>
        <w:rPr>
          <w:rFonts w:hint="eastAsia" w:ascii="Times New Roman" w:hAnsi="Times New Roman" w:eastAsia="仿宋_GB2312"/>
          <w:kern w:val="4"/>
          <w:sz w:val="30"/>
          <w:szCs w:val="30"/>
        </w:rPr>
        <w:t>品质的城市公交和更加便捷的城乡公交</w:t>
      </w:r>
      <w:r>
        <w:rPr>
          <w:rFonts w:ascii="Times New Roman" w:hAnsi="Times New Roman" w:eastAsia="仿宋_GB2312"/>
          <w:kern w:val="4"/>
          <w:sz w:val="30"/>
          <w:szCs w:val="30"/>
        </w:rPr>
        <w:t>。</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（1）推进</w:t>
      </w:r>
      <w:r>
        <w:rPr>
          <w:rFonts w:hint="eastAsia" w:ascii="Times New Roman" w:hAnsi="Times New Roman" w:eastAsia="仿宋_GB2312"/>
          <w:b/>
          <w:kern w:val="4"/>
          <w:sz w:val="30"/>
          <w:szCs w:val="30"/>
        </w:rPr>
        <w:t>城际</w:t>
      </w:r>
      <w:r>
        <w:rPr>
          <w:rFonts w:ascii="Times New Roman" w:hAnsi="Times New Roman" w:eastAsia="仿宋_GB2312"/>
          <w:b/>
          <w:kern w:val="4"/>
          <w:sz w:val="30"/>
          <w:szCs w:val="30"/>
        </w:rPr>
        <w:t>公路客运转型</w:t>
      </w:r>
    </w:p>
    <w:p>
      <w:pPr>
        <w:spacing w:line="560" w:lineRule="exact"/>
        <w:ind w:firstLine="602"/>
        <w:rPr>
          <w:rFonts w:ascii="Times New Roman" w:hAnsi="Times New Roman" w:eastAsia="仿宋_GB2312"/>
          <w:kern w:val="4"/>
          <w:sz w:val="30"/>
          <w:szCs w:val="30"/>
        </w:rPr>
      </w:pPr>
      <w:r>
        <w:rPr>
          <w:rFonts w:hint="eastAsia" w:ascii="Times New Roman" w:hAnsi="Times New Roman" w:eastAsia="仿宋_GB2312"/>
          <w:b/>
          <w:kern w:val="4"/>
          <w:sz w:val="30"/>
          <w:szCs w:val="30"/>
        </w:rPr>
        <w:t>调整</w:t>
      </w:r>
      <w:r>
        <w:rPr>
          <w:rFonts w:ascii="Times New Roman" w:hAnsi="Times New Roman" w:eastAsia="仿宋_GB2312"/>
          <w:b/>
          <w:kern w:val="4"/>
          <w:sz w:val="30"/>
          <w:szCs w:val="30"/>
        </w:rPr>
        <w:t>公路客运班线运营网络</w:t>
      </w:r>
      <w:r>
        <w:rPr>
          <w:rFonts w:ascii="Times New Roman" w:hAnsi="Times New Roman" w:eastAsia="仿宋_GB2312"/>
          <w:kern w:val="4"/>
          <w:sz w:val="30"/>
          <w:szCs w:val="30"/>
        </w:rPr>
        <w:t>。发展以接驳运输为主要模式的长途公路客运网络，依托配载站大力发展节点运输。结合快速铁路、城际轨道建设适当调整线路网络布局。</w:t>
      </w:r>
      <w:r>
        <w:rPr>
          <w:rFonts w:hint="eastAsia" w:ascii="Times New Roman" w:hAnsi="Times New Roman" w:eastAsia="仿宋_GB2312"/>
          <w:kern w:val="4"/>
          <w:sz w:val="30"/>
          <w:szCs w:val="30"/>
        </w:rPr>
        <w:t>新增溧水毗邻乡镇之间公交化运营道路客运班线，加强城乡客运班线和毗邻地区城市公交线路、城乡客运班线或镇村公交线路的无缝衔接。</w:t>
      </w:r>
    </w:p>
    <w:p>
      <w:pPr>
        <w:spacing w:line="560" w:lineRule="exact"/>
        <w:ind w:firstLine="602"/>
        <w:rPr>
          <w:rFonts w:ascii="Times New Roman" w:hAnsi="Times New Roman" w:eastAsia="楷体"/>
          <w:b/>
          <w:kern w:val="4"/>
          <w:sz w:val="30"/>
          <w:szCs w:val="30"/>
        </w:rPr>
      </w:pPr>
      <w:r>
        <w:rPr>
          <w:rFonts w:ascii="Times New Roman" w:hAnsi="Times New Roman" w:eastAsia="仿宋_GB2312"/>
          <w:b/>
          <w:kern w:val="4"/>
          <w:sz w:val="30"/>
          <w:szCs w:val="30"/>
        </w:rPr>
        <w:t>创新公路客运运输组织模式</w:t>
      </w:r>
      <w:r>
        <w:rPr>
          <w:rFonts w:ascii="Times New Roman" w:hAnsi="Times New Roman" w:eastAsia="仿宋_GB2312"/>
          <w:kern w:val="4"/>
          <w:sz w:val="30"/>
          <w:szCs w:val="30"/>
        </w:rPr>
        <w:t>。鼓励传统班线客运作业与旅游景点、网站等形成联盟，实现线上线下共同发展。鼓励客运班线、旅游包车与城市候机楼、旅游集散中心等客流集散点衔接，兼顾服务政府公务出行、企业商务出行、城市通勤出行等需求。支持企业发展定制班车、预约式个性化服务等交通运输相关新兴服务业态。针对春运流、暑运流、节日流、学生流、公务流、商务流、休假及旅游流的特点和要求，增设停靠站点及增开客运专线，满足细分旅客的需求层次。</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（2）发展更具品质的城市公交</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以满足人民群众日常出行需求为出发点，按照创建“公交都市”示范区要求</w:t>
      </w:r>
      <w:r>
        <w:rPr>
          <w:rFonts w:hint="eastAsia" w:ascii="Times New Roman" w:hAnsi="Times New Roman" w:eastAsia="仿宋_GB2312"/>
          <w:kern w:val="4"/>
          <w:sz w:val="30"/>
          <w:szCs w:val="30"/>
        </w:rPr>
        <w:t>，不断</w:t>
      </w:r>
      <w:r>
        <w:rPr>
          <w:rFonts w:ascii="Times New Roman" w:hAnsi="Times New Roman" w:eastAsia="仿宋_GB2312"/>
          <w:kern w:val="4"/>
          <w:sz w:val="30"/>
          <w:szCs w:val="30"/>
        </w:rPr>
        <w:t>推进</w:t>
      </w:r>
      <w:r>
        <w:rPr>
          <w:rFonts w:hint="eastAsia" w:ascii="Times New Roman" w:hAnsi="Times New Roman" w:eastAsia="仿宋_GB2312"/>
          <w:kern w:val="4"/>
          <w:sz w:val="30"/>
          <w:szCs w:val="30"/>
        </w:rPr>
        <w:t>公共</w:t>
      </w:r>
      <w:r>
        <w:rPr>
          <w:rFonts w:ascii="Times New Roman" w:hAnsi="Times New Roman" w:eastAsia="仿宋_GB2312"/>
          <w:kern w:val="4"/>
          <w:sz w:val="30"/>
          <w:szCs w:val="30"/>
        </w:rPr>
        <w:t>交通供给侧</w:t>
      </w:r>
      <w:r>
        <w:rPr>
          <w:rFonts w:hint="eastAsia" w:ascii="Times New Roman" w:hAnsi="Times New Roman" w:eastAsia="仿宋_GB2312"/>
          <w:kern w:val="4"/>
          <w:sz w:val="30"/>
          <w:szCs w:val="30"/>
        </w:rPr>
        <w:t>改革</w:t>
      </w:r>
      <w:r>
        <w:rPr>
          <w:rFonts w:ascii="Times New Roman" w:hAnsi="Times New Roman" w:eastAsia="仿宋_GB2312"/>
          <w:kern w:val="4"/>
          <w:sz w:val="30"/>
          <w:szCs w:val="30"/>
        </w:rPr>
        <w:t>，形成以城际轨道S1、S7线为骨架、以地面</w:t>
      </w:r>
      <w:r>
        <w:rPr>
          <w:rFonts w:hint="eastAsia" w:ascii="Times New Roman" w:hAnsi="Times New Roman" w:eastAsia="仿宋_GB2312"/>
          <w:kern w:val="4"/>
          <w:sz w:val="30"/>
          <w:szCs w:val="30"/>
        </w:rPr>
        <w:t>常规</w:t>
      </w:r>
      <w:r>
        <w:rPr>
          <w:rFonts w:ascii="Times New Roman" w:hAnsi="Times New Roman" w:eastAsia="仿宋_GB2312"/>
          <w:kern w:val="4"/>
          <w:sz w:val="30"/>
          <w:szCs w:val="30"/>
        </w:rPr>
        <w:t>公交为</w:t>
      </w:r>
      <w:r>
        <w:rPr>
          <w:rFonts w:hint="eastAsia" w:ascii="Times New Roman" w:hAnsi="Times New Roman" w:eastAsia="仿宋_GB2312"/>
          <w:kern w:val="4"/>
          <w:sz w:val="30"/>
          <w:szCs w:val="30"/>
        </w:rPr>
        <w:t>网络</w:t>
      </w:r>
      <w:r>
        <w:rPr>
          <w:rFonts w:ascii="Times New Roman" w:hAnsi="Times New Roman" w:eastAsia="仿宋_GB2312"/>
          <w:kern w:val="4"/>
          <w:sz w:val="30"/>
          <w:szCs w:val="30"/>
        </w:rPr>
        <w:t>、</w:t>
      </w:r>
      <w:r>
        <w:rPr>
          <w:rFonts w:hint="eastAsia" w:ascii="Times New Roman" w:hAnsi="Times New Roman" w:eastAsia="仿宋_GB2312"/>
          <w:kern w:val="4"/>
          <w:sz w:val="30"/>
          <w:szCs w:val="30"/>
        </w:rPr>
        <w:t>出租车</w:t>
      </w:r>
      <w:r>
        <w:rPr>
          <w:rFonts w:ascii="Times New Roman" w:hAnsi="Times New Roman" w:eastAsia="仿宋_GB2312"/>
          <w:kern w:val="4"/>
          <w:sz w:val="30"/>
          <w:szCs w:val="30"/>
        </w:rPr>
        <w:t>为补充、</w:t>
      </w:r>
      <w:r>
        <w:rPr>
          <w:rFonts w:hint="eastAsia" w:ascii="Times New Roman" w:hAnsi="Times New Roman" w:eastAsia="仿宋_GB2312"/>
          <w:kern w:val="4"/>
          <w:sz w:val="30"/>
          <w:szCs w:val="30"/>
        </w:rPr>
        <w:t>慢行系统为</w:t>
      </w:r>
      <w:r>
        <w:rPr>
          <w:rFonts w:ascii="Times New Roman" w:hAnsi="Times New Roman" w:eastAsia="仿宋_GB2312"/>
          <w:kern w:val="4"/>
          <w:sz w:val="30"/>
          <w:szCs w:val="30"/>
        </w:rPr>
        <w:t>延伸的</w:t>
      </w:r>
      <w:r>
        <w:rPr>
          <w:rFonts w:hint="eastAsia" w:ascii="Times New Roman" w:hAnsi="Times New Roman" w:eastAsia="仿宋_GB2312"/>
          <w:kern w:val="4"/>
          <w:sz w:val="30"/>
          <w:szCs w:val="30"/>
        </w:rPr>
        <w:t>多层次公共</w:t>
      </w:r>
      <w:r>
        <w:rPr>
          <w:rFonts w:ascii="Times New Roman" w:hAnsi="Times New Roman" w:eastAsia="仿宋_GB2312"/>
          <w:kern w:val="4"/>
          <w:sz w:val="30"/>
          <w:szCs w:val="30"/>
        </w:rPr>
        <w:t>交通</w:t>
      </w:r>
      <w:r>
        <w:rPr>
          <w:rFonts w:hint="eastAsia" w:ascii="Times New Roman" w:hAnsi="Times New Roman" w:eastAsia="仿宋_GB2312"/>
          <w:kern w:val="4"/>
          <w:sz w:val="30"/>
          <w:szCs w:val="30"/>
        </w:rPr>
        <w:t>体系，</w:t>
      </w:r>
      <w:r>
        <w:rPr>
          <w:rFonts w:ascii="Times New Roman" w:hAnsi="Times New Roman" w:eastAsia="仿宋_GB2312"/>
          <w:kern w:val="4"/>
          <w:sz w:val="30"/>
          <w:szCs w:val="30"/>
        </w:rPr>
        <w:t>切实提升公共交通保障能力和服务品质。</w:t>
      </w:r>
    </w:p>
    <w:p>
      <w:pPr>
        <w:spacing w:line="560" w:lineRule="exact"/>
        <w:ind w:firstLine="602"/>
        <w:rPr>
          <w:rFonts w:ascii="Times New Roman" w:hAnsi="Times New Roman" w:eastAsia="仿宋_GB2312"/>
          <w:kern w:val="4"/>
          <w:sz w:val="30"/>
          <w:szCs w:val="30"/>
        </w:rPr>
      </w:pPr>
      <w:r>
        <w:rPr>
          <w:rFonts w:ascii="Times New Roman" w:hAnsi="Times New Roman" w:eastAsia="仿宋_GB2312"/>
          <w:b/>
          <w:kern w:val="4"/>
          <w:sz w:val="30"/>
          <w:szCs w:val="30"/>
        </w:rPr>
        <w:t>服务更优质。</w:t>
      </w:r>
      <w:r>
        <w:rPr>
          <w:rFonts w:ascii="Times New Roman" w:hAnsi="Times New Roman" w:eastAsia="仿宋_GB2312"/>
          <w:kern w:val="4"/>
          <w:sz w:val="30"/>
          <w:szCs w:val="30"/>
        </w:rPr>
        <w:t>“十三五”期间，主城区构建“主线、干线、支线”三级公交网络，新增线路9条，总条数由“十二五”期间的21条增加至30条，增长42%。至2020年，中心城区线网密度达到1.0km/km</w:t>
      </w:r>
      <w:r>
        <w:rPr>
          <w:rFonts w:ascii="Times New Roman" w:hAnsi="Times New Roman" w:eastAsia="仿宋_GB2312"/>
          <w:kern w:val="4"/>
          <w:sz w:val="30"/>
          <w:szCs w:val="30"/>
          <w:vertAlign w:val="superscript"/>
        </w:rPr>
        <w:t>2</w:t>
      </w:r>
      <w:r>
        <w:rPr>
          <w:rFonts w:ascii="Times New Roman" w:hAnsi="Times New Roman" w:eastAsia="仿宋_GB2312"/>
          <w:kern w:val="4"/>
          <w:sz w:val="30"/>
          <w:szCs w:val="30"/>
        </w:rPr>
        <w:t>。中心城区公共交通站点500米全覆盖，300m覆盖率达80%。中心城区公交分担率达到18%，万人拥有公交车辆12标台以上，高峰期发车间隔达到6-8分钟，平峰期发车间隔10-12分钟。客运运力结构不断调整</w:t>
      </w:r>
      <w:r>
        <w:rPr>
          <w:rFonts w:hint="eastAsia" w:ascii="Times New Roman" w:hAnsi="Times New Roman" w:eastAsia="仿宋_GB2312"/>
          <w:kern w:val="4"/>
          <w:sz w:val="30"/>
          <w:szCs w:val="30"/>
        </w:rPr>
        <w:t>，</w:t>
      </w:r>
      <w:r>
        <w:rPr>
          <w:rFonts w:ascii="Times New Roman" w:hAnsi="Times New Roman" w:eastAsia="仿宋_GB2312"/>
          <w:kern w:val="4"/>
          <w:sz w:val="30"/>
          <w:szCs w:val="30"/>
        </w:rPr>
        <w:t>积极发展高效低耗、节能环保运力。</w:t>
      </w:r>
      <w:r>
        <w:rPr>
          <w:rFonts w:hint="eastAsia" w:ascii="Times New Roman" w:hAnsi="Times New Roman" w:eastAsia="仿宋_GB2312"/>
          <w:kern w:val="4"/>
          <w:sz w:val="30"/>
          <w:szCs w:val="30"/>
        </w:rPr>
        <w:t>力争至</w:t>
      </w:r>
      <w:r>
        <w:rPr>
          <w:rFonts w:ascii="Times New Roman" w:hAnsi="Times New Roman" w:eastAsia="仿宋_GB2312"/>
          <w:kern w:val="4"/>
          <w:sz w:val="30"/>
          <w:szCs w:val="30"/>
        </w:rPr>
        <w:t>2020</w:t>
      </w:r>
      <w:r>
        <w:rPr>
          <w:rFonts w:hint="eastAsia" w:ascii="Times New Roman" w:hAnsi="Times New Roman" w:eastAsia="仿宋_GB2312"/>
          <w:kern w:val="4"/>
          <w:sz w:val="30"/>
          <w:szCs w:val="30"/>
        </w:rPr>
        <w:t>年，新能源及</w:t>
      </w:r>
      <w:r>
        <w:rPr>
          <w:rFonts w:ascii="Times New Roman" w:hAnsi="Times New Roman" w:eastAsia="仿宋_GB2312"/>
          <w:kern w:val="4"/>
          <w:sz w:val="30"/>
          <w:szCs w:val="30"/>
        </w:rPr>
        <w:t>清洁能源</w:t>
      </w:r>
      <w:r>
        <w:rPr>
          <w:rFonts w:hint="eastAsia" w:ascii="Times New Roman" w:hAnsi="Times New Roman" w:eastAsia="仿宋_GB2312"/>
          <w:kern w:val="4"/>
          <w:sz w:val="30"/>
          <w:szCs w:val="30"/>
        </w:rPr>
        <w:t>公交车</w:t>
      </w:r>
      <w:r>
        <w:rPr>
          <w:rFonts w:ascii="Times New Roman" w:hAnsi="Times New Roman" w:eastAsia="仿宋_GB2312"/>
          <w:kern w:val="4"/>
          <w:sz w:val="30"/>
          <w:szCs w:val="30"/>
        </w:rPr>
        <w:t>占比</w:t>
      </w:r>
      <w:r>
        <w:rPr>
          <w:rFonts w:hint="eastAsia" w:ascii="Times New Roman" w:hAnsi="Times New Roman" w:eastAsia="仿宋_GB2312"/>
          <w:kern w:val="4"/>
          <w:sz w:val="30"/>
          <w:szCs w:val="30"/>
        </w:rPr>
        <w:t>70</w:t>
      </w:r>
      <w:r>
        <w:rPr>
          <w:rFonts w:ascii="Times New Roman" w:hAnsi="Times New Roman" w:eastAsia="仿宋_GB2312"/>
          <w:kern w:val="4"/>
          <w:sz w:val="30"/>
          <w:szCs w:val="30"/>
        </w:rPr>
        <w:t>%以上。</w:t>
      </w:r>
    </w:p>
    <w:p>
      <w:pPr>
        <w:spacing w:afterLines="50" w:line="560" w:lineRule="exact"/>
        <w:ind w:firstLine="602"/>
        <w:rPr>
          <w:rFonts w:ascii="Times New Roman" w:hAnsi="Times New Roman" w:eastAsia="仿宋_GB2312"/>
          <w:kern w:val="4"/>
          <w:sz w:val="30"/>
          <w:szCs w:val="30"/>
        </w:rPr>
      </w:pPr>
      <w:r>
        <w:rPr>
          <w:rFonts w:ascii="Times New Roman" w:hAnsi="Times New Roman" w:eastAsia="仿宋_GB2312"/>
          <w:b/>
          <w:kern w:val="4"/>
          <w:sz w:val="30"/>
          <w:szCs w:val="30"/>
        </w:rPr>
        <w:t>形式更多元</w:t>
      </w:r>
      <w:r>
        <w:rPr>
          <w:rFonts w:ascii="Times New Roman" w:hAnsi="Times New Roman" w:eastAsia="仿宋_GB2312"/>
          <w:kern w:val="4"/>
          <w:sz w:val="30"/>
          <w:szCs w:val="30"/>
        </w:rPr>
        <w:t>。服务模式不断创新，新型公交模式陆续开通运营。新增天生桥风景区至白马周园游2旅游公交，新增卧龙湖定时公交、调整102、103、105、106等夜间公交。</w:t>
      </w:r>
    </w:p>
    <w:p>
      <w:pPr>
        <w:spacing w:line="560" w:lineRule="exact"/>
        <w:ind w:firstLineChars="0"/>
        <w:jc w:val="center"/>
        <w:rPr>
          <w:rFonts w:ascii="Times New Roman" w:hAnsi="Times New Roman" w:eastAsia="黑体"/>
          <w:kern w:val="4"/>
          <w:sz w:val="24"/>
        </w:rPr>
      </w:pPr>
      <w:r>
        <w:rPr>
          <w:rFonts w:ascii="Times New Roman" w:hAnsi="Times New Roman" w:eastAsia="黑体"/>
          <w:kern w:val="4"/>
          <w:sz w:val="24"/>
        </w:rPr>
        <w:t>表4-4  溧水区公交线路优化一览表</w:t>
      </w:r>
    </w:p>
    <w:tbl>
      <w:tblPr>
        <w:tblStyle w:val="30"/>
        <w:tblW w:w="8505" w:type="dxa"/>
        <w:jc w:val="center"/>
        <w:tblBorders>
          <w:top w:val="double" w:color="auto" w:sz="6" w:space="0"/>
          <w:left w:val="double" w:color="auto" w:sz="6" w:space="0"/>
          <w:bottom w:val="double" w:color="auto" w:sz="6" w:space="0"/>
          <w:right w:val="double" w:color="auto" w:sz="6" w:space="0"/>
          <w:insideH w:val="single" w:color="000000" w:sz="8" w:space="0"/>
          <w:insideV w:val="single" w:color="000000" w:sz="8" w:space="0"/>
        </w:tblBorders>
        <w:tblLayout w:type="autofit"/>
        <w:tblCellMar>
          <w:top w:w="0" w:type="dxa"/>
          <w:left w:w="108" w:type="dxa"/>
          <w:bottom w:w="0" w:type="dxa"/>
          <w:right w:w="108" w:type="dxa"/>
        </w:tblCellMar>
      </w:tblPr>
      <w:tblGrid>
        <w:gridCol w:w="4002"/>
        <w:gridCol w:w="2251"/>
        <w:gridCol w:w="2252"/>
      </w:tblGrid>
      <w:tr>
        <w:tblPrEx>
          <w:tblBorders>
            <w:top w:val="double" w:color="auto" w:sz="6" w:space="0"/>
            <w:left w:val="double" w:color="auto" w:sz="6" w:space="0"/>
            <w:bottom w:val="double" w:color="auto" w:sz="6" w:space="0"/>
            <w:right w:val="double" w:color="auto" w:sz="6" w:space="0"/>
            <w:insideH w:val="single" w:color="000000" w:sz="8" w:space="0"/>
            <w:insideV w:val="single" w:color="000000" w:sz="8" w:space="0"/>
          </w:tblBorders>
          <w:tblCellMar>
            <w:top w:w="0" w:type="dxa"/>
            <w:left w:w="108" w:type="dxa"/>
            <w:bottom w:w="0" w:type="dxa"/>
            <w:right w:w="108" w:type="dxa"/>
          </w:tblCellMar>
        </w:tblPrEx>
        <w:trPr>
          <w:trHeight w:val="397" w:hRule="atLeast"/>
          <w:tblHeader/>
          <w:jc w:val="center"/>
        </w:trPr>
        <w:tc>
          <w:tcPr>
            <w:tcW w:w="1920" w:type="dxa"/>
            <w:tcBorders>
              <w:top w:val="double" w:color="auto" w:sz="6" w:space="0"/>
            </w:tcBorders>
            <w:vAlign w:val="center"/>
          </w:tcPr>
          <w:p>
            <w:pPr>
              <w:widowControl/>
              <w:autoSpaceDE/>
              <w:autoSpaceDN/>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公交线路类型</w:t>
            </w:r>
          </w:p>
        </w:tc>
        <w:tc>
          <w:tcPr>
            <w:tcW w:w="1080" w:type="dxa"/>
            <w:tcBorders>
              <w:top w:val="double" w:color="auto" w:sz="6" w:space="0"/>
            </w:tcBorders>
            <w:vAlign w:val="center"/>
          </w:tcPr>
          <w:p>
            <w:pPr>
              <w:widowControl/>
              <w:autoSpaceDE/>
              <w:autoSpaceDN/>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201</w:t>
            </w:r>
            <w:r>
              <w:rPr>
                <w:rFonts w:hint="eastAsia" w:ascii="Times New Roman" w:hAnsi="Times New Roman" w:eastAsia="楷体"/>
                <w:b/>
                <w:kern w:val="4"/>
                <w:sz w:val="21"/>
                <w:szCs w:val="21"/>
              </w:rPr>
              <w:t>5</w:t>
            </w:r>
            <w:r>
              <w:rPr>
                <w:rFonts w:ascii="Times New Roman" w:hAnsi="Times New Roman" w:eastAsia="楷体"/>
                <w:b/>
                <w:kern w:val="4"/>
                <w:sz w:val="21"/>
                <w:szCs w:val="21"/>
              </w:rPr>
              <w:t>年</w:t>
            </w:r>
          </w:p>
        </w:tc>
        <w:tc>
          <w:tcPr>
            <w:tcW w:w="1080" w:type="dxa"/>
            <w:tcBorders>
              <w:top w:val="double" w:color="auto" w:sz="6" w:space="0"/>
            </w:tcBorders>
            <w:vAlign w:val="center"/>
          </w:tcPr>
          <w:p>
            <w:pPr>
              <w:widowControl/>
              <w:autoSpaceDE/>
              <w:autoSpaceDN/>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2020年</w:t>
            </w:r>
          </w:p>
        </w:tc>
      </w:tr>
      <w:tr>
        <w:tblPrEx>
          <w:tblBorders>
            <w:top w:val="double" w:color="auto" w:sz="6" w:space="0"/>
            <w:left w:val="double" w:color="auto" w:sz="6" w:space="0"/>
            <w:bottom w:val="double" w:color="auto" w:sz="6" w:space="0"/>
            <w:right w:val="double" w:color="auto" w:sz="6"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1920"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城郊辐射公交线路</w:t>
            </w:r>
          </w:p>
        </w:tc>
        <w:tc>
          <w:tcPr>
            <w:tcW w:w="1080"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5条</w:t>
            </w:r>
          </w:p>
        </w:tc>
        <w:tc>
          <w:tcPr>
            <w:tcW w:w="1080"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6条</w:t>
            </w:r>
          </w:p>
        </w:tc>
      </w:tr>
      <w:tr>
        <w:tblPrEx>
          <w:tblBorders>
            <w:top w:val="double" w:color="auto" w:sz="6" w:space="0"/>
            <w:left w:val="double" w:color="auto" w:sz="6" w:space="0"/>
            <w:bottom w:val="double" w:color="auto" w:sz="6" w:space="0"/>
            <w:right w:val="double" w:color="auto" w:sz="6"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1920"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城区骨干公交线路</w:t>
            </w:r>
          </w:p>
        </w:tc>
        <w:tc>
          <w:tcPr>
            <w:tcW w:w="1080"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3条</w:t>
            </w:r>
          </w:p>
        </w:tc>
        <w:tc>
          <w:tcPr>
            <w:tcW w:w="1080"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5条</w:t>
            </w:r>
          </w:p>
        </w:tc>
      </w:tr>
      <w:tr>
        <w:tblPrEx>
          <w:tblBorders>
            <w:top w:val="double" w:color="auto" w:sz="6" w:space="0"/>
            <w:left w:val="double" w:color="auto" w:sz="6" w:space="0"/>
            <w:bottom w:val="double" w:color="auto" w:sz="6" w:space="0"/>
            <w:right w:val="double" w:color="auto" w:sz="6"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1920"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城区支线公交线路</w:t>
            </w:r>
          </w:p>
        </w:tc>
        <w:tc>
          <w:tcPr>
            <w:tcW w:w="1080"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5条</w:t>
            </w:r>
          </w:p>
        </w:tc>
        <w:tc>
          <w:tcPr>
            <w:tcW w:w="1080"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9条</w:t>
            </w:r>
          </w:p>
        </w:tc>
      </w:tr>
      <w:tr>
        <w:tblPrEx>
          <w:tblBorders>
            <w:top w:val="double" w:color="auto" w:sz="6" w:space="0"/>
            <w:left w:val="double" w:color="auto" w:sz="6" w:space="0"/>
            <w:bottom w:val="double" w:color="auto" w:sz="6" w:space="0"/>
            <w:right w:val="double" w:color="auto" w:sz="6"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1920"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定时公家线路</w:t>
            </w:r>
          </w:p>
        </w:tc>
        <w:tc>
          <w:tcPr>
            <w:tcW w:w="1080"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2条</w:t>
            </w:r>
          </w:p>
        </w:tc>
        <w:tc>
          <w:tcPr>
            <w:tcW w:w="1080"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3条</w:t>
            </w:r>
          </w:p>
        </w:tc>
      </w:tr>
      <w:tr>
        <w:tblPrEx>
          <w:tblBorders>
            <w:top w:val="double" w:color="auto" w:sz="6" w:space="0"/>
            <w:left w:val="double" w:color="auto" w:sz="6" w:space="0"/>
            <w:bottom w:val="double" w:color="auto" w:sz="6" w:space="0"/>
            <w:right w:val="double" w:color="auto" w:sz="6"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1920"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夜间公交线路</w:t>
            </w:r>
          </w:p>
        </w:tc>
        <w:tc>
          <w:tcPr>
            <w:tcW w:w="1080"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5条</w:t>
            </w:r>
          </w:p>
        </w:tc>
        <w:tc>
          <w:tcPr>
            <w:tcW w:w="1080"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5条</w:t>
            </w:r>
          </w:p>
        </w:tc>
      </w:tr>
      <w:tr>
        <w:tblPrEx>
          <w:tblBorders>
            <w:top w:val="double" w:color="auto" w:sz="6" w:space="0"/>
            <w:left w:val="double" w:color="auto" w:sz="6" w:space="0"/>
            <w:bottom w:val="double" w:color="auto" w:sz="6" w:space="0"/>
            <w:right w:val="double" w:color="auto" w:sz="6"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1920"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旅游公交线路</w:t>
            </w:r>
          </w:p>
        </w:tc>
        <w:tc>
          <w:tcPr>
            <w:tcW w:w="1080"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1条</w:t>
            </w:r>
          </w:p>
        </w:tc>
        <w:tc>
          <w:tcPr>
            <w:tcW w:w="1080"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2条</w:t>
            </w:r>
          </w:p>
        </w:tc>
      </w:tr>
      <w:tr>
        <w:tblPrEx>
          <w:tblBorders>
            <w:top w:val="double" w:color="auto" w:sz="6" w:space="0"/>
            <w:left w:val="double" w:color="auto" w:sz="6" w:space="0"/>
            <w:bottom w:val="double" w:color="auto" w:sz="6" w:space="0"/>
            <w:right w:val="double" w:color="auto" w:sz="6"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1920" w:type="dxa"/>
            <w:tcBorders>
              <w:bottom w:val="double" w:color="auto" w:sz="6" w:space="0"/>
            </w:tcBorders>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合计</w:t>
            </w:r>
          </w:p>
        </w:tc>
        <w:tc>
          <w:tcPr>
            <w:tcW w:w="1080" w:type="dxa"/>
            <w:tcBorders>
              <w:bottom w:val="double" w:color="auto" w:sz="6" w:space="0"/>
            </w:tcBorders>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21条</w:t>
            </w:r>
          </w:p>
        </w:tc>
        <w:tc>
          <w:tcPr>
            <w:tcW w:w="1080" w:type="dxa"/>
            <w:tcBorders>
              <w:bottom w:val="double" w:color="auto" w:sz="6" w:space="0"/>
            </w:tcBorders>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30条</w:t>
            </w:r>
          </w:p>
        </w:tc>
      </w:tr>
    </w:tbl>
    <w:p>
      <w:pPr>
        <w:spacing w:afterLines="50" w:line="560" w:lineRule="exact"/>
        <w:ind w:firstLine="600"/>
        <w:rPr>
          <w:rFonts w:ascii="Times New Roman" w:hAnsi="Times New Roman" w:eastAsia="仿宋_GB2312"/>
          <w:kern w:val="4"/>
          <w:sz w:val="30"/>
          <w:szCs w:val="30"/>
        </w:rPr>
      </w:pPr>
    </w:p>
    <w:p>
      <w:pPr>
        <w:pBdr>
          <w:top w:val="single" w:color="auto" w:sz="4" w:space="1"/>
          <w:left w:val="single" w:color="auto" w:sz="4" w:space="4"/>
          <w:bottom w:val="single" w:color="auto" w:sz="4" w:space="1"/>
          <w:right w:val="single" w:color="auto" w:sz="4" w:space="4"/>
        </w:pBdr>
        <w:shd w:val="pct10" w:color="auto" w:fill="auto"/>
        <w:spacing w:line="360" w:lineRule="auto"/>
        <w:ind w:firstLine="480"/>
        <w:jc w:val="center"/>
        <w:rPr>
          <w:rFonts w:ascii="Times New Roman" w:hAnsi="Times New Roman" w:eastAsia="楷体"/>
          <w:b/>
          <w:kern w:val="4"/>
          <w:sz w:val="24"/>
        </w:rPr>
      </w:pPr>
      <w:r>
        <w:rPr>
          <w:rFonts w:ascii="Times New Roman" w:hAnsi="Times New Roman" w:eastAsia="楷体"/>
          <w:b/>
          <w:kern w:val="4"/>
          <w:sz w:val="24"/>
        </w:rPr>
        <w:t>【专栏：溧水区城市公交系统优化方案】</w:t>
      </w:r>
    </w:p>
    <w:p>
      <w:pPr>
        <w:pBdr>
          <w:top w:val="single" w:color="auto" w:sz="4" w:space="1"/>
          <w:left w:val="single" w:color="auto" w:sz="4" w:space="4"/>
          <w:bottom w:val="single" w:color="auto" w:sz="4" w:space="1"/>
          <w:right w:val="single" w:color="auto" w:sz="4" w:space="4"/>
        </w:pBdr>
        <w:shd w:val="pct10" w:color="auto" w:fill="auto"/>
        <w:spacing w:line="360" w:lineRule="auto"/>
        <w:ind w:firstLine="420"/>
        <w:rPr>
          <w:rFonts w:ascii="Times New Roman" w:hAnsi="Times New Roman" w:eastAsia="楷体"/>
          <w:kern w:val="4"/>
          <w:sz w:val="21"/>
          <w:szCs w:val="21"/>
        </w:rPr>
      </w:pPr>
      <w:r>
        <w:rPr>
          <w:rFonts w:ascii="Times New Roman" w:hAnsi="Times New Roman" w:eastAsia="楷体"/>
          <w:kern w:val="4"/>
          <w:sz w:val="21"/>
          <w:szCs w:val="21"/>
        </w:rPr>
        <w:t>截至到2015年底，溧水区公交总体规模较小，分担率较低。公交万人拥有量只有8.25标台，公交出行分担率仅为5.0%，分别低于省政府11万标台和18%指标。为落实优先发展战略，提高政府基本公共服务水平，“十三五”期间，根据溧水区公交发展现状及存在问题，结合发展形势及需求，构建“主线、干线、支线”三级公交网络。同时，优化旅游公交、定时公交、夜间公交等新型模式公交线路。具体布局线路如下：</w:t>
      </w:r>
    </w:p>
    <w:p>
      <w:pPr>
        <w:numPr>
          <w:ilvl w:val="0"/>
          <w:numId w:val="1"/>
        </w:numPr>
        <w:pBdr>
          <w:top w:val="single" w:color="auto" w:sz="4" w:space="1"/>
          <w:left w:val="single" w:color="auto" w:sz="4" w:space="4"/>
          <w:bottom w:val="single" w:color="auto" w:sz="4" w:space="1"/>
          <w:right w:val="single" w:color="auto" w:sz="4" w:space="4"/>
        </w:pBdr>
        <w:shd w:val="pct10" w:color="auto" w:fill="auto"/>
        <w:spacing w:line="360" w:lineRule="auto"/>
        <w:ind w:firstLine="420"/>
        <w:rPr>
          <w:rFonts w:ascii="Times New Roman" w:hAnsi="Times New Roman" w:eastAsia="楷体"/>
          <w:b/>
          <w:kern w:val="4"/>
          <w:sz w:val="21"/>
          <w:szCs w:val="21"/>
        </w:rPr>
      </w:pPr>
      <w:r>
        <w:rPr>
          <w:rFonts w:ascii="Times New Roman" w:hAnsi="Times New Roman" w:eastAsia="楷体"/>
          <w:b/>
          <w:kern w:val="4"/>
          <w:sz w:val="21"/>
          <w:szCs w:val="21"/>
        </w:rPr>
        <w:t>主线优化：城郊辐射公交线路</w:t>
      </w:r>
    </w:p>
    <w:p>
      <w:pPr>
        <w:pBdr>
          <w:top w:val="single" w:color="auto" w:sz="4" w:space="1"/>
          <w:left w:val="single" w:color="auto" w:sz="4" w:space="4"/>
          <w:bottom w:val="single" w:color="auto" w:sz="4" w:space="1"/>
          <w:right w:val="single" w:color="auto" w:sz="4" w:space="4"/>
        </w:pBdr>
        <w:shd w:val="pct10" w:color="auto" w:fill="auto"/>
        <w:spacing w:line="360" w:lineRule="auto"/>
        <w:ind w:firstLine="420"/>
        <w:rPr>
          <w:rFonts w:ascii="Times New Roman" w:hAnsi="Times New Roman" w:eastAsia="楷体"/>
          <w:kern w:val="4"/>
          <w:sz w:val="21"/>
          <w:szCs w:val="21"/>
        </w:rPr>
      </w:pPr>
      <w:r>
        <w:rPr>
          <w:rFonts w:ascii="Times New Roman" w:hAnsi="Times New Roman" w:eastAsia="楷体"/>
          <w:kern w:val="4"/>
          <w:sz w:val="21"/>
          <w:szCs w:val="21"/>
        </w:rPr>
        <w:t>城郊辐射公交线路共5条，新增至东庐线（18路）、石湫线（19路）；保留12路、13路、17路。其中，东庐公交线路（18路，长12.5km），途径区人民医院、新实小，沿老明公路、金龙路、随园路、珍珠路、中山路、栖凤路接入栖凤路农贸市场。石湫公交线路（19路，长18.8km），对接宁高城际二期石湫站，途经天生桥景区，沿溧石线、毓秀路、中山路、秦淮大道接入溧水客运站。</w:t>
      </w:r>
    </w:p>
    <w:p>
      <w:pPr>
        <w:numPr>
          <w:ilvl w:val="0"/>
          <w:numId w:val="1"/>
        </w:numPr>
        <w:pBdr>
          <w:top w:val="single" w:color="auto" w:sz="4" w:space="1"/>
          <w:left w:val="single" w:color="auto" w:sz="4" w:space="4"/>
          <w:bottom w:val="single" w:color="auto" w:sz="4" w:space="1"/>
          <w:right w:val="single" w:color="auto" w:sz="4" w:space="4"/>
        </w:pBdr>
        <w:shd w:val="pct10" w:color="auto" w:fill="auto"/>
        <w:spacing w:line="360" w:lineRule="auto"/>
        <w:ind w:firstLine="420"/>
        <w:rPr>
          <w:rFonts w:ascii="Times New Roman" w:hAnsi="Times New Roman" w:eastAsia="楷体"/>
          <w:b/>
          <w:kern w:val="4"/>
          <w:sz w:val="21"/>
          <w:szCs w:val="21"/>
        </w:rPr>
      </w:pPr>
      <w:r>
        <w:rPr>
          <w:rFonts w:ascii="Times New Roman" w:hAnsi="Times New Roman" w:eastAsia="楷体"/>
          <w:b/>
          <w:kern w:val="4"/>
          <w:sz w:val="21"/>
          <w:szCs w:val="21"/>
        </w:rPr>
        <w:t>干线优化：城区骨干公交线路</w:t>
      </w:r>
    </w:p>
    <w:p>
      <w:pPr>
        <w:pBdr>
          <w:top w:val="single" w:color="auto" w:sz="4" w:space="1"/>
          <w:left w:val="single" w:color="auto" w:sz="4" w:space="4"/>
          <w:bottom w:val="single" w:color="auto" w:sz="4" w:space="1"/>
          <w:right w:val="single" w:color="auto" w:sz="4" w:space="4"/>
        </w:pBdr>
        <w:shd w:val="pct10" w:color="auto" w:fill="auto"/>
        <w:spacing w:line="360" w:lineRule="auto"/>
        <w:ind w:firstLine="420"/>
        <w:rPr>
          <w:rFonts w:ascii="Times New Roman" w:hAnsi="Times New Roman" w:eastAsia="楷体"/>
          <w:kern w:val="4"/>
          <w:sz w:val="21"/>
          <w:szCs w:val="21"/>
        </w:rPr>
      </w:pPr>
      <w:r>
        <w:rPr>
          <w:rFonts w:ascii="Times New Roman" w:hAnsi="Times New Roman" w:eastAsia="楷体"/>
          <w:kern w:val="4"/>
          <w:sz w:val="21"/>
          <w:szCs w:val="21"/>
        </w:rPr>
        <w:t>城区骨干线路包括1路、2路、3路、6路和9路5条线路。其中1、2、3路组合形成中心放射状网络，覆盖溧水城区最重要客流走廊。1路南端延伸至洪蓝镇（线路长约15km），方便洪蓝镇出行，支撑洪蓝镇与城区一体化发展。3路北端结合红光路首末站建设，由碧水家园站延伸至红光路站站（长10.9km），同时服务开发区客流。原6路改造为南环线（长约12公里），途径人民医院、大润发、省溧中、新实小等大客流点。原9路、15路改造为北环线（长约13.9公里），沿秦淮大道、红光路闭合，北端接入团山站。</w:t>
      </w:r>
    </w:p>
    <w:p>
      <w:pPr>
        <w:numPr>
          <w:ilvl w:val="0"/>
          <w:numId w:val="1"/>
        </w:numPr>
        <w:pBdr>
          <w:top w:val="single" w:color="auto" w:sz="4" w:space="1"/>
          <w:left w:val="single" w:color="auto" w:sz="4" w:space="4"/>
          <w:bottom w:val="single" w:color="auto" w:sz="4" w:space="1"/>
          <w:right w:val="single" w:color="auto" w:sz="4" w:space="4"/>
        </w:pBdr>
        <w:shd w:val="pct10" w:color="auto" w:fill="auto"/>
        <w:spacing w:line="360" w:lineRule="auto"/>
        <w:ind w:firstLine="420"/>
        <w:rPr>
          <w:rFonts w:ascii="Times New Roman" w:hAnsi="Times New Roman" w:eastAsia="楷体"/>
          <w:b/>
          <w:kern w:val="4"/>
          <w:sz w:val="21"/>
          <w:szCs w:val="21"/>
        </w:rPr>
      </w:pPr>
      <w:r>
        <w:rPr>
          <w:rFonts w:ascii="Times New Roman" w:hAnsi="Times New Roman" w:eastAsia="楷体"/>
          <w:b/>
          <w:kern w:val="4"/>
          <w:sz w:val="21"/>
          <w:szCs w:val="21"/>
        </w:rPr>
        <w:t>支线优化：城区支线公交线路</w:t>
      </w:r>
    </w:p>
    <w:p>
      <w:pPr>
        <w:pBdr>
          <w:top w:val="single" w:color="auto" w:sz="4" w:space="1"/>
          <w:left w:val="single" w:color="auto" w:sz="4" w:space="4"/>
          <w:bottom w:val="single" w:color="auto" w:sz="4" w:space="1"/>
          <w:right w:val="single" w:color="auto" w:sz="4" w:space="4"/>
        </w:pBdr>
        <w:shd w:val="pct10" w:color="auto" w:fill="auto"/>
        <w:spacing w:line="360" w:lineRule="auto"/>
        <w:ind w:firstLine="420"/>
        <w:rPr>
          <w:rFonts w:ascii="Times New Roman" w:hAnsi="Times New Roman" w:eastAsia="楷体"/>
          <w:kern w:val="4"/>
          <w:sz w:val="21"/>
          <w:szCs w:val="21"/>
        </w:rPr>
      </w:pPr>
      <w:r>
        <w:rPr>
          <w:rFonts w:ascii="Times New Roman" w:hAnsi="Times New Roman" w:eastAsia="楷体"/>
          <w:kern w:val="4"/>
          <w:sz w:val="21"/>
          <w:szCs w:val="21"/>
        </w:rPr>
        <w:t>城区支线线路包括5路、7路、8路、11路，10路（新增）、15路（新增）、16路（新增）等7条线路。</w:t>
      </w:r>
    </w:p>
    <w:p>
      <w:pPr>
        <w:numPr>
          <w:ilvl w:val="0"/>
          <w:numId w:val="1"/>
        </w:numPr>
        <w:pBdr>
          <w:top w:val="single" w:color="auto" w:sz="4" w:space="1"/>
          <w:left w:val="single" w:color="auto" w:sz="4" w:space="4"/>
          <w:bottom w:val="single" w:color="auto" w:sz="4" w:space="1"/>
          <w:right w:val="single" w:color="auto" w:sz="4" w:space="4"/>
        </w:pBdr>
        <w:shd w:val="pct10" w:color="auto" w:fill="auto"/>
        <w:spacing w:line="360" w:lineRule="auto"/>
        <w:ind w:firstLine="420"/>
        <w:rPr>
          <w:rFonts w:ascii="Times New Roman" w:hAnsi="Times New Roman" w:eastAsia="楷体"/>
          <w:b/>
          <w:kern w:val="4"/>
          <w:sz w:val="21"/>
          <w:szCs w:val="21"/>
        </w:rPr>
      </w:pPr>
      <w:r>
        <w:rPr>
          <w:rFonts w:ascii="Times New Roman" w:hAnsi="Times New Roman" w:eastAsia="楷体"/>
          <w:b/>
          <w:kern w:val="4"/>
          <w:sz w:val="21"/>
          <w:szCs w:val="21"/>
        </w:rPr>
        <w:t>定时公交线路</w:t>
      </w:r>
    </w:p>
    <w:p>
      <w:pPr>
        <w:pBdr>
          <w:top w:val="single" w:color="auto" w:sz="4" w:space="1"/>
          <w:left w:val="single" w:color="auto" w:sz="4" w:space="4"/>
          <w:bottom w:val="single" w:color="auto" w:sz="4" w:space="1"/>
          <w:right w:val="single" w:color="auto" w:sz="4" w:space="4"/>
        </w:pBdr>
        <w:shd w:val="pct10" w:color="auto" w:fill="auto"/>
        <w:spacing w:line="360" w:lineRule="auto"/>
        <w:ind w:firstLine="420"/>
        <w:rPr>
          <w:rFonts w:ascii="Times New Roman" w:hAnsi="Times New Roman" w:eastAsia="楷体"/>
          <w:kern w:val="4"/>
          <w:sz w:val="21"/>
          <w:szCs w:val="21"/>
        </w:rPr>
      </w:pPr>
      <w:r>
        <w:rPr>
          <w:rFonts w:ascii="Times New Roman" w:hAnsi="Times New Roman" w:eastAsia="楷体"/>
          <w:kern w:val="4"/>
          <w:sz w:val="21"/>
          <w:szCs w:val="21"/>
        </w:rPr>
        <w:t>新增定时发车公交线路（14.9km），自栖凤路农贸市场沿经中山西路、中大街、双塘路、团山路、群力大道、连香公路、卧龙湖大道。</w:t>
      </w:r>
    </w:p>
    <w:p>
      <w:pPr>
        <w:numPr>
          <w:ilvl w:val="0"/>
          <w:numId w:val="1"/>
        </w:numPr>
        <w:pBdr>
          <w:top w:val="single" w:color="auto" w:sz="4" w:space="1"/>
          <w:left w:val="single" w:color="auto" w:sz="4" w:space="4"/>
          <w:bottom w:val="single" w:color="auto" w:sz="4" w:space="1"/>
          <w:right w:val="single" w:color="auto" w:sz="4" w:space="4"/>
        </w:pBdr>
        <w:shd w:val="pct10" w:color="auto" w:fill="auto"/>
        <w:spacing w:line="360" w:lineRule="auto"/>
        <w:ind w:firstLine="420"/>
        <w:rPr>
          <w:rFonts w:ascii="Times New Roman" w:hAnsi="Times New Roman" w:eastAsia="楷体"/>
          <w:kern w:val="4"/>
          <w:sz w:val="21"/>
          <w:szCs w:val="21"/>
        </w:rPr>
      </w:pPr>
      <w:r>
        <w:rPr>
          <w:rFonts w:ascii="Times New Roman" w:hAnsi="Times New Roman" w:eastAsia="楷体"/>
          <w:kern w:val="4"/>
          <w:sz w:val="21"/>
          <w:szCs w:val="21"/>
        </w:rPr>
        <w:t>夜间公交线路</w:t>
      </w:r>
    </w:p>
    <w:p>
      <w:pPr>
        <w:pBdr>
          <w:top w:val="single" w:color="auto" w:sz="4" w:space="1"/>
          <w:left w:val="single" w:color="auto" w:sz="4" w:space="4"/>
          <w:bottom w:val="single" w:color="auto" w:sz="4" w:space="1"/>
          <w:right w:val="single" w:color="auto" w:sz="4" w:space="4"/>
        </w:pBdr>
        <w:shd w:val="pct10" w:color="auto" w:fill="auto"/>
        <w:spacing w:line="360" w:lineRule="auto"/>
        <w:ind w:firstLine="420"/>
        <w:rPr>
          <w:rFonts w:ascii="Times New Roman" w:hAnsi="Times New Roman" w:eastAsia="楷体"/>
          <w:kern w:val="4"/>
          <w:sz w:val="21"/>
          <w:szCs w:val="21"/>
        </w:rPr>
      </w:pPr>
      <w:r>
        <w:rPr>
          <w:rFonts w:ascii="Times New Roman" w:hAnsi="Times New Roman" w:eastAsia="楷体"/>
          <w:kern w:val="4"/>
          <w:sz w:val="21"/>
          <w:szCs w:val="21"/>
        </w:rPr>
        <w:t>夜班车调整102路、103路、105路、106路，增加对核心区、近郊洪蓝镇等的覆盖，同时更多串联商业网点。</w:t>
      </w:r>
    </w:p>
    <w:p>
      <w:pPr>
        <w:numPr>
          <w:ilvl w:val="0"/>
          <w:numId w:val="1"/>
        </w:numPr>
        <w:pBdr>
          <w:top w:val="single" w:color="auto" w:sz="4" w:space="1"/>
          <w:left w:val="single" w:color="auto" w:sz="4" w:space="4"/>
          <w:bottom w:val="single" w:color="auto" w:sz="4" w:space="1"/>
          <w:right w:val="single" w:color="auto" w:sz="4" w:space="4"/>
        </w:pBdr>
        <w:shd w:val="pct10" w:color="auto" w:fill="auto"/>
        <w:spacing w:line="360" w:lineRule="auto"/>
        <w:ind w:firstLine="420"/>
        <w:rPr>
          <w:rFonts w:ascii="Times New Roman" w:hAnsi="Times New Roman" w:eastAsia="楷体"/>
          <w:kern w:val="4"/>
          <w:sz w:val="21"/>
          <w:szCs w:val="21"/>
        </w:rPr>
      </w:pPr>
      <w:r>
        <w:rPr>
          <w:rFonts w:ascii="Times New Roman" w:hAnsi="Times New Roman" w:eastAsia="楷体"/>
          <w:kern w:val="4"/>
          <w:sz w:val="21"/>
          <w:szCs w:val="21"/>
        </w:rPr>
        <w:t>旅游公交线路</w:t>
      </w:r>
    </w:p>
    <w:p>
      <w:pPr>
        <w:pBdr>
          <w:top w:val="single" w:color="auto" w:sz="4" w:space="1"/>
          <w:left w:val="single" w:color="auto" w:sz="4" w:space="4"/>
          <w:bottom w:val="single" w:color="auto" w:sz="4" w:space="1"/>
          <w:right w:val="single" w:color="auto" w:sz="4" w:space="4"/>
        </w:pBdr>
        <w:shd w:val="pct10" w:color="auto" w:fill="auto"/>
        <w:spacing w:line="360" w:lineRule="auto"/>
        <w:ind w:firstLine="420"/>
        <w:rPr>
          <w:rFonts w:ascii="Times New Roman" w:hAnsi="Times New Roman" w:eastAsia="楷体"/>
          <w:kern w:val="4"/>
          <w:sz w:val="21"/>
          <w:szCs w:val="21"/>
        </w:rPr>
      </w:pPr>
      <w:r>
        <w:rPr>
          <w:rFonts w:ascii="Times New Roman" w:hAnsi="Times New Roman" w:eastAsia="楷体"/>
          <w:kern w:val="4"/>
          <w:sz w:val="21"/>
          <w:szCs w:val="21"/>
        </w:rPr>
        <w:t>新增游2路（30km），自天生桥风景区沿天生桥大道、珍珠路、交通路、溧白路、白袁路，终于白马周园。</w:t>
      </w:r>
    </w:p>
    <w:p>
      <w:pPr>
        <w:spacing w:afterLines="50" w:line="560" w:lineRule="exact"/>
        <w:ind w:firstLine="602"/>
        <w:rPr>
          <w:rFonts w:ascii="Times New Roman" w:hAnsi="Times New Roman" w:eastAsia="仿宋_GB2312"/>
          <w:kern w:val="4"/>
          <w:sz w:val="30"/>
          <w:szCs w:val="30"/>
        </w:rPr>
      </w:pPr>
      <w:r>
        <w:rPr>
          <w:rFonts w:hint="eastAsia" w:ascii="Times New Roman" w:hAnsi="Times New Roman" w:eastAsia="仿宋_GB2312"/>
          <w:b/>
          <w:kern w:val="4"/>
          <w:sz w:val="30"/>
          <w:szCs w:val="30"/>
        </w:rPr>
        <w:t>设施</w:t>
      </w:r>
      <w:r>
        <w:rPr>
          <w:rFonts w:ascii="Times New Roman" w:hAnsi="Times New Roman" w:eastAsia="仿宋_GB2312"/>
          <w:b/>
          <w:kern w:val="4"/>
          <w:sz w:val="30"/>
          <w:szCs w:val="30"/>
        </w:rPr>
        <w:t>更完善。</w:t>
      </w:r>
      <w:r>
        <w:rPr>
          <w:rFonts w:ascii="Times New Roman" w:hAnsi="Times New Roman" w:eastAsia="仿宋_GB2312"/>
          <w:kern w:val="4"/>
          <w:sz w:val="30"/>
          <w:szCs w:val="30"/>
        </w:rPr>
        <w:t>构建以轨道</w:t>
      </w:r>
      <w:r>
        <w:rPr>
          <w:rFonts w:hint="eastAsia" w:ascii="Times New Roman" w:hAnsi="Times New Roman" w:eastAsia="仿宋_GB2312"/>
          <w:kern w:val="4"/>
          <w:sz w:val="30"/>
          <w:szCs w:val="30"/>
        </w:rPr>
        <w:t>站点</w:t>
      </w:r>
      <w:r>
        <w:rPr>
          <w:rFonts w:ascii="Times New Roman" w:hAnsi="Times New Roman" w:eastAsia="仿宋_GB2312"/>
          <w:kern w:val="4"/>
          <w:sz w:val="30"/>
          <w:szCs w:val="30"/>
        </w:rPr>
        <w:t>换乘</w:t>
      </w:r>
      <w:r>
        <w:rPr>
          <w:rFonts w:hint="eastAsia" w:ascii="Times New Roman" w:hAnsi="Times New Roman" w:eastAsia="仿宋_GB2312"/>
          <w:kern w:val="4"/>
          <w:sz w:val="30"/>
          <w:szCs w:val="30"/>
        </w:rPr>
        <w:t>枢纽</w:t>
      </w:r>
      <w:r>
        <w:rPr>
          <w:rFonts w:ascii="Times New Roman" w:hAnsi="Times New Roman" w:eastAsia="仿宋_GB2312"/>
          <w:kern w:val="4"/>
          <w:sz w:val="30"/>
          <w:szCs w:val="30"/>
        </w:rPr>
        <w:t>、停保养场、公交首末站、</w:t>
      </w:r>
      <w:r>
        <w:rPr>
          <w:rFonts w:hint="eastAsia" w:ascii="Times New Roman" w:hAnsi="Times New Roman" w:eastAsia="仿宋_GB2312"/>
          <w:kern w:val="4"/>
          <w:sz w:val="30"/>
          <w:szCs w:val="30"/>
        </w:rPr>
        <w:t>农村</w:t>
      </w:r>
      <w:r>
        <w:rPr>
          <w:rFonts w:ascii="Times New Roman" w:hAnsi="Times New Roman" w:eastAsia="仿宋_GB2312"/>
          <w:kern w:val="4"/>
          <w:sz w:val="30"/>
          <w:szCs w:val="30"/>
        </w:rPr>
        <w:t>客运站、行政村回车场为主次格局的站场配套体系。“十三五”期间，</w:t>
      </w:r>
      <w:r>
        <w:rPr>
          <w:rFonts w:hint="eastAsia" w:ascii="Times New Roman" w:hAnsi="Times New Roman" w:eastAsia="仿宋_GB2312"/>
          <w:kern w:val="4"/>
          <w:sz w:val="30"/>
          <w:szCs w:val="30"/>
        </w:rPr>
        <w:t>为加快枢纽</w:t>
      </w:r>
      <w:r>
        <w:rPr>
          <w:rFonts w:ascii="Times New Roman" w:hAnsi="Times New Roman" w:eastAsia="仿宋_GB2312"/>
          <w:kern w:val="4"/>
          <w:sz w:val="30"/>
          <w:szCs w:val="30"/>
        </w:rPr>
        <w:t>场站</w:t>
      </w:r>
      <w:r>
        <w:rPr>
          <w:rFonts w:hint="eastAsia" w:ascii="Times New Roman" w:hAnsi="Times New Roman" w:eastAsia="仿宋_GB2312"/>
          <w:kern w:val="4"/>
          <w:sz w:val="30"/>
          <w:szCs w:val="30"/>
        </w:rPr>
        <w:t>一体化</w:t>
      </w:r>
      <w:r>
        <w:rPr>
          <w:rFonts w:ascii="Times New Roman" w:hAnsi="Times New Roman" w:eastAsia="仿宋_GB2312"/>
          <w:kern w:val="4"/>
          <w:sz w:val="30"/>
          <w:szCs w:val="30"/>
        </w:rPr>
        <w:t>规划</w:t>
      </w:r>
      <w:r>
        <w:rPr>
          <w:rFonts w:hint="eastAsia" w:ascii="Times New Roman" w:hAnsi="Times New Roman" w:eastAsia="仿宋_GB2312"/>
          <w:kern w:val="4"/>
          <w:sz w:val="30"/>
          <w:szCs w:val="30"/>
        </w:rPr>
        <w:t>建设，支撑公共</w:t>
      </w:r>
      <w:r>
        <w:rPr>
          <w:rFonts w:ascii="Times New Roman" w:hAnsi="Times New Roman" w:eastAsia="仿宋_GB2312"/>
          <w:kern w:val="4"/>
          <w:sz w:val="30"/>
          <w:szCs w:val="30"/>
        </w:rPr>
        <w:t>交通</w:t>
      </w:r>
      <w:r>
        <w:rPr>
          <w:rFonts w:hint="eastAsia" w:ascii="Times New Roman" w:hAnsi="Times New Roman" w:eastAsia="仿宋_GB2312"/>
          <w:kern w:val="4"/>
          <w:sz w:val="30"/>
          <w:szCs w:val="30"/>
        </w:rPr>
        <w:t>网络协同</w:t>
      </w:r>
      <w:r>
        <w:rPr>
          <w:rFonts w:ascii="Times New Roman" w:hAnsi="Times New Roman" w:eastAsia="仿宋_GB2312"/>
          <w:kern w:val="4"/>
          <w:sz w:val="30"/>
          <w:szCs w:val="30"/>
        </w:rPr>
        <w:t>优化，</w:t>
      </w:r>
      <w:r>
        <w:rPr>
          <w:rFonts w:hint="eastAsia" w:ascii="Times New Roman" w:hAnsi="Times New Roman" w:eastAsia="仿宋_GB2312"/>
          <w:kern w:val="4"/>
          <w:sz w:val="30"/>
          <w:szCs w:val="30"/>
        </w:rPr>
        <w:t>实现公共</w:t>
      </w:r>
      <w:r>
        <w:rPr>
          <w:rFonts w:ascii="Times New Roman" w:hAnsi="Times New Roman" w:eastAsia="仿宋_GB2312"/>
          <w:kern w:val="4"/>
          <w:sz w:val="30"/>
          <w:szCs w:val="30"/>
        </w:rPr>
        <w:t>交通的</w:t>
      </w:r>
      <w:r>
        <w:rPr>
          <w:rFonts w:hint="eastAsia" w:ascii="Times New Roman" w:hAnsi="Times New Roman" w:eastAsia="仿宋_GB2312"/>
          <w:kern w:val="4"/>
          <w:sz w:val="30"/>
          <w:szCs w:val="30"/>
        </w:rPr>
        <w:t>无缝</w:t>
      </w:r>
      <w:r>
        <w:rPr>
          <w:rFonts w:ascii="Times New Roman" w:hAnsi="Times New Roman" w:eastAsia="仿宋_GB2312"/>
          <w:kern w:val="4"/>
          <w:sz w:val="30"/>
          <w:szCs w:val="30"/>
        </w:rPr>
        <w:t>、</w:t>
      </w:r>
      <w:r>
        <w:rPr>
          <w:rFonts w:hint="eastAsia" w:ascii="Times New Roman" w:hAnsi="Times New Roman" w:eastAsia="仿宋_GB2312"/>
          <w:kern w:val="4"/>
          <w:sz w:val="30"/>
          <w:szCs w:val="30"/>
        </w:rPr>
        <w:t>高效</w:t>
      </w:r>
      <w:r>
        <w:rPr>
          <w:rFonts w:ascii="Times New Roman" w:hAnsi="Times New Roman" w:eastAsia="仿宋_GB2312"/>
          <w:kern w:val="4"/>
          <w:sz w:val="30"/>
          <w:szCs w:val="30"/>
        </w:rPr>
        <w:t>换乘，新建柘塘、溧水汽车客运站、无想山等轨道换乘</w:t>
      </w:r>
      <w:r>
        <w:rPr>
          <w:rFonts w:hint="eastAsia" w:ascii="Times New Roman" w:hAnsi="Times New Roman" w:eastAsia="仿宋_GB2312"/>
          <w:kern w:val="4"/>
          <w:sz w:val="30"/>
          <w:szCs w:val="30"/>
        </w:rPr>
        <w:t>枢纽</w:t>
      </w:r>
      <w:r>
        <w:rPr>
          <w:rFonts w:ascii="Times New Roman" w:hAnsi="Times New Roman" w:eastAsia="仿宋_GB2312"/>
          <w:kern w:val="4"/>
          <w:sz w:val="30"/>
          <w:szCs w:val="30"/>
        </w:rPr>
        <w:t>3个</w:t>
      </w:r>
      <w:r>
        <w:rPr>
          <w:rFonts w:hint="eastAsia" w:ascii="Times New Roman" w:hAnsi="Times New Roman" w:eastAsia="仿宋_GB2312"/>
          <w:kern w:val="4"/>
          <w:sz w:val="30"/>
          <w:szCs w:val="30"/>
        </w:rPr>
        <w:t>，</w:t>
      </w:r>
      <w:r>
        <w:rPr>
          <w:rFonts w:ascii="Times New Roman" w:hAnsi="Times New Roman" w:eastAsia="仿宋_GB2312"/>
          <w:kern w:val="4"/>
          <w:sz w:val="30"/>
          <w:szCs w:val="30"/>
        </w:rPr>
        <w:t>同时加快</w:t>
      </w:r>
      <w:r>
        <w:rPr>
          <w:rFonts w:hint="eastAsia" w:ascii="Times New Roman" w:hAnsi="Times New Roman" w:eastAsia="仿宋_GB2312"/>
          <w:kern w:val="4"/>
          <w:sz w:val="30"/>
          <w:szCs w:val="30"/>
        </w:rPr>
        <w:t>换乘</w:t>
      </w:r>
      <w:r>
        <w:rPr>
          <w:rFonts w:ascii="Times New Roman" w:hAnsi="Times New Roman" w:eastAsia="仿宋_GB2312"/>
          <w:kern w:val="4"/>
          <w:sz w:val="30"/>
          <w:szCs w:val="30"/>
        </w:rPr>
        <w:t>枢纽</w:t>
      </w:r>
      <w:r>
        <w:rPr>
          <w:rFonts w:hint="eastAsia" w:ascii="Times New Roman" w:hAnsi="Times New Roman" w:eastAsia="仿宋_GB2312"/>
          <w:kern w:val="4"/>
          <w:sz w:val="30"/>
          <w:szCs w:val="30"/>
        </w:rPr>
        <w:t>内部一体化</w:t>
      </w:r>
      <w:r>
        <w:rPr>
          <w:rFonts w:ascii="Times New Roman" w:hAnsi="Times New Roman" w:eastAsia="仿宋_GB2312"/>
          <w:kern w:val="4"/>
          <w:sz w:val="30"/>
          <w:szCs w:val="30"/>
        </w:rPr>
        <w:t>建设</w:t>
      </w:r>
      <w:r>
        <w:rPr>
          <w:rFonts w:hint="eastAsia" w:ascii="Times New Roman" w:hAnsi="Times New Roman" w:eastAsia="仿宋_GB2312"/>
          <w:kern w:val="4"/>
          <w:sz w:val="30"/>
          <w:szCs w:val="30"/>
        </w:rPr>
        <w:t>，</w:t>
      </w:r>
      <w:r>
        <w:rPr>
          <w:rFonts w:ascii="Times New Roman" w:hAnsi="Times New Roman" w:eastAsia="仿宋_GB2312"/>
          <w:kern w:val="4"/>
          <w:sz w:val="30"/>
          <w:szCs w:val="30"/>
        </w:rPr>
        <w:t>改善换乘</w:t>
      </w:r>
      <w:r>
        <w:rPr>
          <w:rFonts w:hint="eastAsia" w:ascii="Times New Roman" w:hAnsi="Times New Roman" w:eastAsia="仿宋_GB2312"/>
          <w:kern w:val="4"/>
          <w:sz w:val="30"/>
          <w:szCs w:val="30"/>
        </w:rPr>
        <w:t>衔接</w:t>
      </w:r>
      <w:r>
        <w:rPr>
          <w:rFonts w:ascii="Times New Roman" w:hAnsi="Times New Roman" w:eastAsia="仿宋_GB2312"/>
          <w:kern w:val="4"/>
          <w:sz w:val="30"/>
          <w:szCs w:val="30"/>
        </w:rPr>
        <w:t>条件</w:t>
      </w:r>
      <w:r>
        <w:rPr>
          <w:rFonts w:hint="eastAsia" w:ascii="Times New Roman" w:hAnsi="Times New Roman" w:eastAsia="仿宋_GB2312"/>
          <w:kern w:val="4"/>
          <w:sz w:val="30"/>
          <w:szCs w:val="30"/>
        </w:rPr>
        <w:t>。为</w:t>
      </w:r>
      <w:r>
        <w:rPr>
          <w:rFonts w:ascii="Times New Roman" w:hAnsi="Times New Roman" w:eastAsia="仿宋_GB2312"/>
          <w:kern w:val="4"/>
          <w:sz w:val="30"/>
          <w:szCs w:val="30"/>
        </w:rPr>
        <w:t>进一步提高公共汽（电）车进场率</w:t>
      </w:r>
      <w:r>
        <w:rPr>
          <w:rFonts w:hint="eastAsia" w:ascii="Times New Roman" w:hAnsi="Times New Roman" w:eastAsia="仿宋_GB2312"/>
          <w:kern w:val="4"/>
          <w:sz w:val="30"/>
          <w:szCs w:val="30"/>
        </w:rPr>
        <w:t>，新建</w:t>
      </w:r>
      <w:r>
        <w:rPr>
          <w:rFonts w:ascii="Times New Roman" w:hAnsi="Times New Roman" w:eastAsia="仿宋_GB2312"/>
          <w:kern w:val="4"/>
          <w:sz w:val="30"/>
          <w:szCs w:val="30"/>
        </w:rPr>
        <w:t>开发区团山、红光东路、</w:t>
      </w:r>
      <w:r>
        <w:rPr>
          <w:rFonts w:hint="eastAsia" w:ascii="Times New Roman" w:hAnsi="Times New Roman" w:eastAsia="仿宋_GB2312"/>
          <w:kern w:val="4"/>
          <w:sz w:val="30"/>
          <w:szCs w:val="30"/>
        </w:rPr>
        <w:t>杭村</w:t>
      </w:r>
      <w:r>
        <w:rPr>
          <w:rFonts w:ascii="Times New Roman" w:hAnsi="Times New Roman" w:eastAsia="仿宋_GB2312"/>
          <w:kern w:val="4"/>
          <w:sz w:val="30"/>
          <w:szCs w:val="30"/>
        </w:rPr>
        <w:t>、钟灵南路、中兴西路、洪蓝（新站）等公交首末站6个</w:t>
      </w:r>
      <w:r>
        <w:rPr>
          <w:rFonts w:hint="eastAsia" w:ascii="Times New Roman" w:hAnsi="Times New Roman" w:eastAsia="仿宋_GB2312"/>
          <w:kern w:val="4"/>
          <w:sz w:val="30"/>
          <w:szCs w:val="30"/>
        </w:rPr>
        <w:t>，同时</w:t>
      </w:r>
      <w:r>
        <w:rPr>
          <w:rFonts w:ascii="Times New Roman" w:hAnsi="Times New Roman" w:eastAsia="仿宋_GB2312"/>
          <w:kern w:val="4"/>
          <w:sz w:val="30"/>
          <w:szCs w:val="30"/>
        </w:rPr>
        <w:t>新建汇集公交换乘，车辆修理保养、车辆检测、加油加气、出租车（租赁）服务中心等综合功能的溧水公交停保养场1个</w:t>
      </w:r>
      <w:r>
        <w:rPr>
          <w:rFonts w:hint="eastAsia" w:ascii="Times New Roman" w:hAnsi="Times New Roman" w:eastAsia="仿宋_GB2312"/>
          <w:kern w:val="4"/>
          <w:sz w:val="30"/>
          <w:szCs w:val="30"/>
        </w:rPr>
        <w:t>（栖凤路）。此外</w:t>
      </w:r>
      <w:r>
        <w:rPr>
          <w:rFonts w:ascii="Times New Roman" w:hAnsi="Times New Roman" w:eastAsia="仿宋_GB2312"/>
          <w:kern w:val="4"/>
          <w:sz w:val="30"/>
          <w:szCs w:val="30"/>
        </w:rPr>
        <w:t>通过设置过街人行横道、过街天桥或地道、调整公交站台至交叉口处等方法局部优化公交站台。加快建设加气（油）站和充（换）电站等设施。</w:t>
      </w:r>
    </w:p>
    <w:p>
      <w:pPr>
        <w:ind w:firstLine="0" w:firstLineChars="0"/>
        <w:jc w:val="center"/>
        <w:rPr>
          <w:rFonts w:ascii="Times New Roman" w:hAnsi="Times New Roman" w:eastAsia="仿宋_GB2312"/>
          <w:kern w:val="4"/>
          <w:sz w:val="30"/>
          <w:szCs w:val="30"/>
        </w:rPr>
      </w:pPr>
      <w:r>
        <w:rPr>
          <w:rFonts w:ascii="Times New Roman" w:hAnsi="Times New Roman" w:eastAsia="仿宋_GB2312"/>
          <w:kern w:val="4"/>
          <w:sz w:val="30"/>
          <w:szCs w:val="30"/>
        </w:rPr>
        <w:drawing>
          <wp:inline distT="0" distB="0" distL="0" distR="0">
            <wp:extent cx="4480560" cy="4561205"/>
            <wp:effectExtent l="19050" t="19050" r="15240" b="1079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4480610" cy="4561623"/>
                    </a:xfrm>
                    <a:prstGeom prst="rect">
                      <a:avLst/>
                    </a:prstGeom>
                    <a:noFill/>
                    <a:ln w="3175">
                      <a:solidFill>
                        <a:schemeClr val="tx1"/>
                      </a:solidFill>
                    </a:ln>
                  </pic:spPr>
                </pic:pic>
              </a:graphicData>
            </a:graphic>
          </wp:inline>
        </w:drawing>
      </w:r>
    </w:p>
    <w:p>
      <w:pPr>
        <w:spacing w:line="560" w:lineRule="exact"/>
        <w:ind w:firstLineChars="0"/>
        <w:jc w:val="center"/>
        <w:rPr>
          <w:rFonts w:ascii="Times New Roman" w:hAnsi="Times New Roman" w:eastAsia="黑体"/>
          <w:kern w:val="4"/>
          <w:sz w:val="24"/>
        </w:rPr>
      </w:pPr>
      <w:r>
        <w:rPr>
          <w:rFonts w:ascii="Times New Roman" w:hAnsi="Times New Roman" w:eastAsia="黑体"/>
          <w:kern w:val="4"/>
          <w:sz w:val="24"/>
        </w:rPr>
        <w:t>图4-4溧水区公交场站布局优化图</w:t>
      </w:r>
    </w:p>
    <w:p>
      <w:pPr>
        <w:spacing w:beforeLines="50" w:line="560" w:lineRule="exact"/>
        <w:ind w:firstLine="602"/>
        <w:rPr>
          <w:rFonts w:ascii="Times New Roman" w:hAnsi="Times New Roman" w:eastAsia="仿宋_GB2312"/>
          <w:b/>
          <w:kern w:val="4"/>
          <w:sz w:val="30"/>
          <w:szCs w:val="30"/>
        </w:rPr>
      </w:pPr>
      <w:r>
        <w:rPr>
          <w:rFonts w:hint="eastAsia" w:ascii="Times New Roman" w:hAnsi="Times New Roman" w:eastAsia="仿宋_GB2312"/>
          <w:b/>
          <w:kern w:val="4"/>
          <w:sz w:val="30"/>
          <w:szCs w:val="30"/>
        </w:rPr>
        <w:t>管理</w:t>
      </w:r>
      <w:r>
        <w:rPr>
          <w:rFonts w:ascii="Times New Roman" w:hAnsi="Times New Roman" w:eastAsia="仿宋_GB2312"/>
          <w:b/>
          <w:kern w:val="4"/>
          <w:sz w:val="30"/>
          <w:szCs w:val="30"/>
        </w:rPr>
        <w:t>更智慧。</w:t>
      </w:r>
      <w:r>
        <w:rPr>
          <w:rFonts w:hint="eastAsia" w:ascii="Times New Roman" w:hAnsi="Times New Roman" w:eastAsia="仿宋_GB2312"/>
          <w:kern w:val="4"/>
          <w:sz w:val="30"/>
          <w:szCs w:val="30"/>
        </w:rPr>
        <w:t>“十三五”期间，积极建设公交智能化系统，实施智能调度、电子站牌、信号优先等工程。该项目作为智慧城市的重要组成部分将为溧水区政府监管功能与决策规划提供依据，实现企业运营调度高效化，为公众提供实时出行信息服务。</w:t>
      </w:r>
    </w:p>
    <w:p>
      <w:pPr>
        <w:spacing w:beforeLines="50" w:line="560" w:lineRule="exact"/>
        <w:ind w:firstLine="602"/>
        <w:rPr>
          <w:rFonts w:ascii="Times New Roman" w:hAnsi="Times New Roman" w:eastAsia="仿宋_GB2312"/>
          <w:kern w:val="4"/>
          <w:sz w:val="30"/>
          <w:szCs w:val="30"/>
        </w:rPr>
      </w:pPr>
      <w:r>
        <w:rPr>
          <w:rFonts w:ascii="Times New Roman" w:hAnsi="Times New Roman" w:eastAsia="仿宋_GB2312"/>
          <w:b/>
          <w:kern w:val="4"/>
          <w:sz w:val="30"/>
          <w:szCs w:val="30"/>
        </w:rPr>
        <w:t>进一步提高出租车服务水平。</w:t>
      </w:r>
      <w:r>
        <w:rPr>
          <w:rFonts w:ascii="Times New Roman" w:hAnsi="Times New Roman" w:eastAsia="仿宋_GB2312"/>
          <w:kern w:val="4"/>
          <w:sz w:val="30"/>
          <w:szCs w:val="30"/>
        </w:rPr>
        <w:t>合理管控出租车发展规模与价格体系，合理界定专车服务模式，满足高品质、差异化出行需求；加强出租汽车行业管理，鼓励出租汽车行业建立现代企业制度，提升服务水平；鼓励公车公营管理制度，不断提升国有出租车市场份额；建设完善电召平台，推广城市出租汽车电话约车、智能手机终端召车、网上预约召车服务和电子结算服务，提高电调供车率，提高出租车里程利用率；</w:t>
      </w:r>
      <w:r>
        <w:rPr>
          <w:rFonts w:hint="eastAsia" w:ascii="Times New Roman" w:hAnsi="Times New Roman" w:eastAsia="仿宋_GB2312"/>
          <w:kern w:val="4"/>
          <w:sz w:val="30"/>
          <w:szCs w:val="30"/>
        </w:rPr>
        <w:t>积极稳妥推进出租汽车行业改革，深化巡游车改革、规范网约车管理；</w:t>
      </w:r>
      <w:r>
        <w:rPr>
          <w:rFonts w:ascii="Times New Roman" w:hAnsi="Times New Roman" w:eastAsia="仿宋_GB2312"/>
          <w:kern w:val="4"/>
          <w:sz w:val="30"/>
          <w:szCs w:val="30"/>
        </w:rPr>
        <w:t>完善出租车经营配套设施，建立出租车服务中心，改善出租车司机工作环境；设置出租车专用停车位和服务站点，方便乘客乘车。“十三五”期间，新增出租车200辆，总运力达到349辆。</w:t>
      </w:r>
    </w:p>
    <w:p>
      <w:pPr>
        <w:spacing w:afterLines="50" w:line="560" w:lineRule="exact"/>
        <w:ind w:firstLine="602"/>
        <w:rPr>
          <w:rFonts w:ascii="Times New Roman" w:hAnsi="Times New Roman" w:eastAsia="仿宋_GB2312"/>
          <w:kern w:val="4"/>
          <w:sz w:val="30"/>
          <w:szCs w:val="30"/>
        </w:rPr>
      </w:pPr>
      <w:r>
        <w:rPr>
          <w:rFonts w:ascii="Times New Roman" w:hAnsi="Times New Roman" w:eastAsia="仿宋_GB2312"/>
          <w:b/>
          <w:kern w:val="4"/>
          <w:sz w:val="30"/>
          <w:szCs w:val="30"/>
        </w:rPr>
        <w:t>进一步完善公共自行车租赁系统。</w:t>
      </w:r>
      <w:r>
        <w:rPr>
          <w:rFonts w:ascii="Times New Roman" w:hAnsi="Times New Roman" w:eastAsia="仿宋_GB2312"/>
          <w:kern w:val="4"/>
          <w:sz w:val="30"/>
          <w:szCs w:val="30"/>
        </w:rPr>
        <w:t>进一步优化自行车与公交站点有机衔接，满足公众出行“最后一公里”需求。“十三五”期间，</w:t>
      </w:r>
      <w:r>
        <w:rPr>
          <w:rFonts w:hint="eastAsia" w:ascii="Times New Roman" w:hAnsi="Times New Roman" w:eastAsia="仿宋_GB2312"/>
          <w:kern w:val="4"/>
          <w:sz w:val="30"/>
          <w:szCs w:val="30"/>
        </w:rPr>
        <w:t>优化调整</w:t>
      </w:r>
      <w:r>
        <w:rPr>
          <w:rFonts w:ascii="Times New Roman" w:hAnsi="Times New Roman" w:eastAsia="仿宋_GB2312"/>
          <w:kern w:val="4"/>
          <w:sz w:val="30"/>
          <w:szCs w:val="30"/>
        </w:rPr>
        <w:t>现有自行车</w:t>
      </w:r>
      <w:r>
        <w:rPr>
          <w:rFonts w:hint="eastAsia" w:ascii="Times New Roman" w:hAnsi="Times New Roman" w:eastAsia="仿宋_GB2312"/>
          <w:kern w:val="4"/>
          <w:sz w:val="30"/>
          <w:szCs w:val="30"/>
        </w:rPr>
        <w:t>服务</w:t>
      </w:r>
      <w:r>
        <w:rPr>
          <w:rFonts w:ascii="Times New Roman" w:hAnsi="Times New Roman" w:eastAsia="仿宋_GB2312"/>
          <w:kern w:val="4"/>
          <w:sz w:val="30"/>
          <w:szCs w:val="30"/>
        </w:rPr>
        <w:t>点布局，在无想山以北、开发区秀山路以南、S246省道以西、栖凤路以东围合城区范围内新建公共自行车服务点50个，投入自行车1000辆。预计至2020年全区公共自行车服务点达到118个，自行车2675辆。基本建成覆盖范围较为广泛，系统较为完善的公共自行车租赁系统。</w:t>
      </w:r>
    </w:p>
    <w:p>
      <w:pPr>
        <w:pBdr>
          <w:top w:val="single" w:color="auto" w:sz="4" w:space="1"/>
          <w:left w:val="single" w:color="auto" w:sz="4" w:space="4"/>
          <w:bottom w:val="single" w:color="auto" w:sz="4" w:space="1"/>
          <w:right w:val="single" w:color="auto" w:sz="4" w:space="4"/>
        </w:pBdr>
        <w:shd w:val="pct5" w:color="auto" w:fill="auto"/>
        <w:spacing w:line="560" w:lineRule="exact"/>
        <w:ind w:firstLine="0" w:firstLineChars="0"/>
        <w:jc w:val="center"/>
        <w:rPr>
          <w:rFonts w:ascii="楷体" w:hAnsi="楷体" w:eastAsia="楷体"/>
          <w:kern w:val="4"/>
          <w:sz w:val="24"/>
        </w:rPr>
      </w:pPr>
      <w:r>
        <w:rPr>
          <w:rFonts w:hint="eastAsia" w:ascii="楷体" w:hAnsi="楷体" w:eastAsia="楷体"/>
          <w:kern w:val="4"/>
          <w:sz w:val="24"/>
        </w:rPr>
        <w:t>【</w:t>
      </w:r>
      <w:r>
        <w:rPr>
          <w:rFonts w:hint="eastAsia" w:ascii="楷体" w:hAnsi="楷体" w:eastAsia="楷体"/>
          <w:b/>
          <w:kern w:val="4"/>
          <w:sz w:val="24"/>
        </w:rPr>
        <w:t>专栏：轨道公交慢行“三网</w:t>
      </w:r>
      <w:r>
        <w:rPr>
          <w:rFonts w:ascii="楷体" w:hAnsi="楷体" w:eastAsia="楷体"/>
          <w:b/>
          <w:kern w:val="4"/>
          <w:sz w:val="24"/>
        </w:rPr>
        <w:t>融合</w:t>
      </w:r>
      <w:r>
        <w:rPr>
          <w:rFonts w:hint="eastAsia" w:ascii="楷体" w:hAnsi="楷体" w:eastAsia="楷体"/>
          <w:b/>
          <w:kern w:val="4"/>
          <w:sz w:val="24"/>
        </w:rPr>
        <w:t>”</w:t>
      </w:r>
      <w:r>
        <w:rPr>
          <w:rFonts w:hint="eastAsia" w:ascii="楷体" w:hAnsi="楷体" w:eastAsia="楷体"/>
          <w:kern w:val="4"/>
          <w:sz w:val="24"/>
        </w:rPr>
        <w:t>】</w:t>
      </w:r>
    </w:p>
    <w:p>
      <w:pPr>
        <w:pBdr>
          <w:top w:val="single" w:color="auto" w:sz="4" w:space="1"/>
          <w:left w:val="single" w:color="auto" w:sz="4" w:space="4"/>
          <w:bottom w:val="single" w:color="auto" w:sz="4" w:space="1"/>
          <w:right w:val="single" w:color="auto" w:sz="4" w:space="4"/>
        </w:pBdr>
        <w:shd w:val="pct5" w:color="auto" w:fill="auto"/>
        <w:spacing w:line="360" w:lineRule="auto"/>
        <w:ind w:firstLine="420"/>
        <w:rPr>
          <w:rFonts w:ascii="楷体" w:hAnsi="楷体" w:eastAsia="楷体"/>
          <w:kern w:val="4"/>
          <w:sz w:val="21"/>
          <w:szCs w:val="21"/>
        </w:rPr>
      </w:pPr>
      <w:r>
        <w:rPr>
          <w:rFonts w:hint="eastAsia" w:ascii="楷体" w:hAnsi="楷体" w:eastAsia="楷体"/>
          <w:kern w:val="4"/>
          <w:sz w:val="21"/>
          <w:szCs w:val="21"/>
        </w:rPr>
        <w:t>随着轨道S</w:t>
      </w:r>
      <w:r>
        <w:rPr>
          <w:rFonts w:ascii="楷体" w:hAnsi="楷体" w:eastAsia="楷体"/>
          <w:kern w:val="4"/>
          <w:sz w:val="21"/>
          <w:szCs w:val="21"/>
        </w:rPr>
        <w:t>1</w:t>
      </w:r>
      <w:r>
        <w:rPr>
          <w:rFonts w:hint="eastAsia" w:ascii="楷体" w:hAnsi="楷体" w:eastAsia="楷体"/>
          <w:kern w:val="4"/>
          <w:sz w:val="21"/>
          <w:szCs w:val="21"/>
        </w:rPr>
        <w:t>、S</w:t>
      </w:r>
      <w:r>
        <w:rPr>
          <w:rFonts w:ascii="楷体" w:hAnsi="楷体" w:eastAsia="楷体"/>
          <w:kern w:val="4"/>
          <w:sz w:val="21"/>
          <w:szCs w:val="21"/>
        </w:rPr>
        <w:t>7</w:t>
      </w:r>
      <w:r>
        <w:rPr>
          <w:rFonts w:hint="eastAsia" w:ascii="楷体" w:hAnsi="楷体" w:eastAsia="楷体"/>
          <w:kern w:val="4"/>
          <w:sz w:val="21"/>
          <w:szCs w:val="21"/>
        </w:rPr>
        <w:t>建成，至2020年</w:t>
      </w:r>
      <w:r>
        <w:rPr>
          <w:rFonts w:ascii="楷体" w:hAnsi="楷体" w:eastAsia="楷体"/>
          <w:kern w:val="4"/>
          <w:sz w:val="21"/>
          <w:szCs w:val="21"/>
        </w:rPr>
        <w:t>，</w:t>
      </w:r>
      <w:r>
        <w:rPr>
          <w:rFonts w:hint="eastAsia" w:ascii="楷体" w:hAnsi="楷体" w:eastAsia="楷体"/>
          <w:kern w:val="4"/>
          <w:sz w:val="21"/>
          <w:szCs w:val="21"/>
        </w:rPr>
        <w:t>溧水将</w:t>
      </w:r>
      <w:r>
        <w:rPr>
          <w:rFonts w:ascii="楷体" w:hAnsi="楷体" w:eastAsia="楷体"/>
          <w:kern w:val="4"/>
          <w:sz w:val="21"/>
          <w:szCs w:val="21"/>
        </w:rPr>
        <w:t>形成</w:t>
      </w:r>
      <w:r>
        <w:rPr>
          <w:rFonts w:hint="eastAsia" w:ascii="楷体" w:hAnsi="楷体" w:eastAsia="楷体"/>
          <w:kern w:val="4"/>
          <w:sz w:val="21"/>
          <w:szCs w:val="21"/>
        </w:rPr>
        <w:t>“轨道</w:t>
      </w:r>
      <w:r>
        <w:rPr>
          <w:rFonts w:ascii="楷体" w:hAnsi="楷体" w:eastAsia="楷体"/>
          <w:kern w:val="4"/>
          <w:sz w:val="21"/>
          <w:szCs w:val="21"/>
        </w:rPr>
        <w:t>交通为骨架、</w:t>
      </w:r>
      <w:r>
        <w:rPr>
          <w:rFonts w:hint="eastAsia" w:ascii="楷体" w:hAnsi="楷体" w:eastAsia="楷体"/>
          <w:kern w:val="4"/>
          <w:sz w:val="21"/>
          <w:szCs w:val="21"/>
        </w:rPr>
        <w:t>常规</w:t>
      </w:r>
      <w:r>
        <w:rPr>
          <w:rFonts w:ascii="楷体" w:hAnsi="楷体" w:eastAsia="楷体"/>
          <w:kern w:val="4"/>
          <w:sz w:val="21"/>
          <w:szCs w:val="21"/>
        </w:rPr>
        <w:t>公交为</w:t>
      </w:r>
      <w:r>
        <w:rPr>
          <w:rFonts w:hint="eastAsia" w:ascii="楷体" w:hAnsi="楷体" w:eastAsia="楷体"/>
          <w:kern w:val="4"/>
          <w:sz w:val="21"/>
          <w:szCs w:val="21"/>
        </w:rPr>
        <w:t>网络</w:t>
      </w:r>
      <w:r>
        <w:rPr>
          <w:rFonts w:ascii="楷体" w:hAnsi="楷体" w:eastAsia="楷体"/>
          <w:kern w:val="4"/>
          <w:sz w:val="21"/>
          <w:szCs w:val="21"/>
        </w:rPr>
        <w:t>、出租车</w:t>
      </w:r>
      <w:r>
        <w:rPr>
          <w:rFonts w:hint="eastAsia" w:ascii="楷体" w:hAnsi="楷体" w:eastAsia="楷体"/>
          <w:kern w:val="4"/>
          <w:sz w:val="21"/>
          <w:szCs w:val="21"/>
        </w:rPr>
        <w:t>为</w:t>
      </w:r>
      <w:r>
        <w:rPr>
          <w:rFonts w:ascii="楷体" w:hAnsi="楷体" w:eastAsia="楷体"/>
          <w:kern w:val="4"/>
          <w:sz w:val="21"/>
          <w:szCs w:val="21"/>
        </w:rPr>
        <w:t>补充</w:t>
      </w:r>
      <w:r>
        <w:rPr>
          <w:rFonts w:hint="eastAsia" w:ascii="楷体" w:hAnsi="楷体" w:eastAsia="楷体"/>
          <w:kern w:val="4"/>
          <w:sz w:val="21"/>
          <w:szCs w:val="21"/>
        </w:rPr>
        <w:t>、</w:t>
      </w:r>
      <w:r>
        <w:rPr>
          <w:rFonts w:ascii="楷体" w:hAnsi="楷体" w:eastAsia="楷体"/>
          <w:kern w:val="4"/>
          <w:sz w:val="21"/>
          <w:szCs w:val="21"/>
        </w:rPr>
        <w:t>慢行系统为延伸</w:t>
      </w:r>
      <w:r>
        <w:rPr>
          <w:rFonts w:hint="eastAsia" w:ascii="楷体" w:hAnsi="楷体" w:eastAsia="楷体"/>
          <w:kern w:val="4"/>
          <w:sz w:val="21"/>
          <w:szCs w:val="21"/>
        </w:rPr>
        <w:t>”的</w:t>
      </w:r>
      <w:r>
        <w:rPr>
          <w:rFonts w:ascii="楷体" w:hAnsi="楷体" w:eastAsia="楷体"/>
          <w:kern w:val="4"/>
          <w:sz w:val="21"/>
          <w:szCs w:val="21"/>
        </w:rPr>
        <w:t>多层次</w:t>
      </w:r>
      <w:r>
        <w:rPr>
          <w:rFonts w:hint="eastAsia" w:ascii="楷体" w:hAnsi="楷体" w:eastAsia="楷体"/>
          <w:kern w:val="4"/>
          <w:sz w:val="21"/>
          <w:szCs w:val="21"/>
        </w:rPr>
        <w:t>公共</w:t>
      </w:r>
      <w:r>
        <w:rPr>
          <w:rFonts w:ascii="楷体" w:hAnsi="楷体" w:eastAsia="楷体"/>
          <w:kern w:val="4"/>
          <w:sz w:val="21"/>
          <w:szCs w:val="21"/>
        </w:rPr>
        <w:t>交通</w:t>
      </w:r>
      <w:r>
        <w:rPr>
          <w:rFonts w:hint="eastAsia" w:ascii="楷体" w:hAnsi="楷体" w:eastAsia="楷体"/>
          <w:kern w:val="4"/>
          <w:sz w:val="21"/>
          <w:szCs w:val="21"/>
        </w:rPr>
        <w:t>体系</w:t>
      </w:r>
      <w:r>
        <w:rPr>
          <w:rFonts w:ascii="楷体" w:hAnsi="楷体" w:eastAsia="楷体"/>
          <w:kern w:val="4"/>
          <w:sz w:val="21"/>
          <w:szCs w:val="21"/>
        </w:rPr>
        <w:t>。</w:t>
      </w:r>
      <w:r>
        <w:rPr>
          <w:rFonts w:hint="eastAsia" w:ascii="楷体" w:hAnsi="楷体" w:eastAsia="楷体"/>
          <w:kern w:val="4"/>
          <w:sz w:val="21"/>
          <w:szCs w:val="21"/>
        </w:rPr>
        <w:t>为实现轨道、公交、慢行三网融合，溧水</w:t>
      </w:r>
      <w:r>
        <w:rPr>
          <w:rFonts w:ascii="楷体" w:hAnsi="楷体" w:eastAsia="楷体"/>
          <w:kern w:val="4"/>
          <w:sz w:val="21"/>
          <w:szCs w:val="21"/>
        </w:rPr>
        <w:t>应积极构建</w:t>
      </w:r>
      <w:r>
        <w:rPr>
          <w:rFonts w:hint="eastAsia" w:ascii="楷体" w:hAnsi="楷体" w:eastAsia="楷体"/>
          <w:kern w:val="4"/>
          <w:sz w:val="21"/>
          <w:szCs w:val="21"/>
        </w:rPr>
        <w:t>紧密</w:t>
      </w:r>
      <w:r>
        <w:rPr>
          <w:rFonts w:ascii="楷体" w:hAnsi="楷体" w:eastAsia="楷体"/>
          <w:kern w:val="4"/>
          <w:sz w:val="21"/>
          <w:szCs w:val="21"/>
        </w:rPr>
        <w:t>配合、</w:t>
      </w:r>
      <w:r>
        <w:rPr>
          <w:rFonts w:hint="eastAsia" w:ascii="楷体" w:hAnsi="楷体" w:eastAsia="楷体"/>
          <w:kern w:val="4"/>
          <w:sz w:val="21"/>
          <w:szCs w:val="21"/>
        </w:rPr>
        <w:t>无缝</w:t>
      </w:r>
      <w:r>
        <w:rPr>
          <w:rFonts w:ascii="楷体" w:hAnsi="楷体" w:eastAsia="楷体"/>
          <w:kern w:val="4"/>
          <w:sz w:val="21"/>
          <w:szCs w:val="21"/>
        </w:rPr>
        <w:t>衔接</w:t>
      </w:r>
      <w:r>
        <w:rPr>
          <w:rFonts w:hint="eastAsia" w:ascii="楷体" w:hAnsi="楷体" w:eastAsia="楷体"/>
          <w:kern w:val="4"/>
          <w:sz w:val="21"/>
          <w:szCs w:val="21"/>
        </w:rPr>
        <w:t>的</w:t>
      </w:r>
      <w:r>
        <w:rPr>
          <w:rFonts w:ascii="楷体" w:hAnsi="楷体" w:eastAsia="楷体"/>
          <w:kern w:val="4"/>
          <w:sz w:val="21"/>
          <w:szCs w:val="21"/>
        </w:rPr>
        <w:t>公共</w:t>
      </w:r>
      <w:r>
        <w:rPr>
          <w:rFonts w:hint="eastAsia" w:ascii="楷体" w:hAnsi="楷体" w:eastAsia="楷体"/>
          <w:kern w:val="4"/>
          <w:sz w:val="21"/>
          <w:szCs w:val="21"/>
        </w:rPr>
        <w:t>交通服务</w:t>
      </w:r>
      <w:r>
        <w:rPr>
          <w:rFonts w:ascii="楷体" w:hAnsi="楷体" w:eastAsia="楷体"/>
          <w:kern w:val="4"/>
          <w:sz w:val="21"/>
          <w:szCs w:val="21"/>
        </w:rPr>
        <w:t>网络，</w:t>
      </w:r>
      <w:r>
        <w:rPr>
          <w:rFonts w:hint="eastAsia" w:ascii="楷体" w:hAnsi="楷体" w:eastAsia="楷体"/>
          <w:kern w:val="4"/>
          <w:sz w:val="21"/>
          <w:szCs w:val="21"/>
        </w:rPr>
        <w:t>进一步</w:t>
      </w:r>
      <w:r>
        <w:rPr>
          <w:rFonts w:ascii="楷体" w:hAnsi="楷体" w:eastAsia="楷体"/>
          <w:kern w:val="4"/>
          <w:sz w:val="21"/>
          <w:szCs w:val="21"/>
        </w:rPr>
        <w:t>提高</w:t>
      </w:r>
      <w:r>
        <w:rPr>
          <w:rFonts w:hint="eastAsia" w:ascii="楷体" w:hAnsi="楷体" w:eastAsia="楷体"/>
          <w:kern w:val="4"/>
          <w:sz w:val="21"/>
          <w:szCs w:val="21"/>
        </w:rPr>
        <w:t>整</w:t>
      </w:r>
      <w:r>
        <w:rPr>
          <w:rFonts w:ascii="楷体" w:hAnsi="楷体" w:eastAsia="楷体"/>
          <w:kern w:val="4"/>
          <w:sz w:val="21"/>
          <w:szCs w:val="21"/>
        </w:rPr>
        <w:t>网的</w:t>
      </w:r>
      <w:r>
        <w:rPr>
          <w:rFonts w:hint="eastAsia" w:ascii="楷体" w:hAnsi="楷体" w:eastAsia="楷体"/>
          <w:kern w:val="4"/>
          <w:sz w:val="21"/>
          <w:szCs w:val="21"/>
        </w:rPr>
        <w:t>服务</w:t>
      </w:r>
      <w:r>
        <w:rPr>
          <w:rFonts w:ascii="楷体" w:hAnsi="楷体" w:eastAsia="楷体"/>
          <w:kern w:val="4"/>
          <w:sz w:val="21"/>
          <w:szCs w:val="21"/>
        </w:rPr>
        <w:t>品质和</w:t>
      </w:r>
      <w:r>
        <w:rPr>
          <w:rFonts w:hint="eastAsia" w:ascii="楷体" w:hAnsi="楷体" w:eastAsia="楷体"/>
          <w:kern w:val="4"/>
          <w:sz w:val="21"/>
          <w:szCs w:val="21"/>
        </w:rPr>
        <w:t>运营</w:t>
      </w:r>
      <w:r>
        <w:rPr>
          <w:rFonts w:ascii="楷体" w:hAnsi="楷体" w:eastAsia="楷体"/>
          <w:kern w:val="4"/>
          <w:sz w:val="21"/>
          <w:szCs w:val="21"/>
        </w:rPr>
        <w:t>效率。</w:t>
      </w:r>
    </w:p>
    <w:p>
      <w:pPr>
        <w:pBdr>
          <w:top w:val="single" w:color="auto" w:sz="4" w:space="1"/>
          <w:left w:val="single" w:color="auto" w:sz="4" w:space="4"/>
          <w:bottom w:val="single" w:color="auto" w:sz="4" w:space="1"/>
          <w:right w:val="single" w:color="auto" w:sz="4" w:space="4"/>
        </w:pBdr>
        <w:shd w:val="pct5" w:color="auto" w:fill="auto"/>
        <w:spacing w:line="360" w:lineRule="auto"/>
        <w:ind w:firstLine="420"/>
        <w:rPr>
          <w:rFonts w:ascii="楷体" w:hAnsi="楷体" w:eastAsia="楷体" w:cs="仿宋_GB2312"/>
          <w:kern w:val="4"/>
          <w:sz w:val="21"/>
          <w:szCs w:val="21"/>
        </w:rPr>
      </w:pPr>
      <w:r>
        <w:rPr>
          <w:rFonts w:ascii="楷体" w:hAnsi="楷体" w:eastAsia="楷体"/>
          <w:kern w:val="4"/>
          <w:sz w:val="21"/>
          <w:szCs w:val="21"/>
        </w:rPr>
        <w:t>同步建设轨道站点换乘设施</w:t>
      </w:r>
      <w:r>
        <w:rPr>
          <w:rFonts w:hint="eastAsia" w:ascii="楷体" w:hAnsi="楷体" w:eastAsia="楷体"/>
          <w:kern w:val="4"/>
          <w:sz w:val="21"/>
          <w:szCs w:val="21"/>
        </w:rPr>
        <w:t>。</w:t>
      </w:r>
      <w:r>
        <w:rPr>
          <w:rFonts w:hint="eastAsia" w:ascii="楷体" w:hAnsi="楷体" w:eastAsia="楷体" w:cs="仿宋_GB2312"/>
          <w:kern w:val="4"/>
          <w:sz w:val="21"/>
          <w:szCs w:val="21"/>
        </w:rPr>
        <w:t>因地制宜围绕S</w:t>
      </w:r>
      <w:r>
        <w:rPr>
          <w:rFonts w:ascii="楷体" w:hAnsi="楷体" w:eastAsia="楷体" w:cs="仿宋_GB2312"/>
          <w:kern w:val="4"/>
          <w:sz w:val="21"/>
          <w:szCs w:val="21"/>
        </w:rPr>
        <w:t>1</w:t>
      </w:r>
      <w:r>
        <w:rPr>
          <w:rFonts w:hint="eastAsia" w:ascii="楷体" w:hAnsi="楷体" w:eastAsia="楷体" w:cs="仿宋_GB2312"/>
          <w:kern w:val="4"/>
          <w:sz w:val="21"/>
          <w:szCs w:val="21"/>
        </w:rPr>
        <w:t>、</w:t>
      </w:r>
      <w:r>
        <w:rPr>
          <w:rFonts w:ascii="楷体" w:hAnsi="楷体" w:eastAsia="楷体" w:cs="仿宋_GB2312"/>
          <w:kern w:val="4"/>
          <w:sz w:val="21"/>
          <w:szCs w:val="21"/>
        </w:rPr>
        <w:t>S7</w:t>
      </w:r>
      <w:r>
        <w:rPr>
          <w:rFonts w:hint="eastAsia" w:ascii="楷体" w:hAnsi="楷体" w:eastAsia="楷体" w:cs="仿宋_GB2312"/>
          <w:kern w:val="4"/>
          <w:sz w:val="21"/>
          <w:szCs w:val="21"/>
        </w:rPr>
        <w:t>两条轨道站点规划布局建设配套城市公交、城乡</w:t>
      </w:r>
      <w:r>
        <w:rPr>
          <w:rFonts w:ascii="楷体" w:hAnsi="楷体" w:eastAsia="楷体" w:cs="仿宋_GB2312"/>
          <w:kern w:val="4"/>
          <w:sz w:val="21"/>
          <w:szCs w:val="21"/>
        </w:rPr>
        <w:t>公交</w:t>
      </w:r>
      <w:r>
        <w:rPr>
          <w:rFonts w:hint="eastAsia" w:ascii="楷体" w:hAnsi="楷体" w:eastAsia="楷体" w:cs="仿宋_GB2312"/>
          <w:kern w:val="4"/>
          <w:sz w:val="21"/>
          <w:szCs w:val="21"/>
        </w:rPr>
        <w:t>、社会停车场、自行车等设施的城市换乘枢纽站。“十三五”期间</w:t>
      </w:r>
      <w:r>
        <w:rPr>
          <w:rFonts w:ascii="楷体" w:hAnsi="楷体" w:eastAsia="楷体" w:cs="仿宋_GB2312"/>
          <w:kern w:val="4"/>
          <w:sz w:val="21"/>
          <w:szCs w:val="21"/>
        </w:rPr>
        <w:t>，新建</w:t>
      </w:r>
      <w:r>
        <w:rPr>
          <w:rFonts w:hint="eastAsia" w:ascii="楷体" w:hAnsi="楷体" w:eastAsia="楷体" w:cs="仿宋_GB2312"/>
          <w:kern w:val="4"/>
          <w:sz w:val="21"/>
          <w:szCs w:val="21"/>
        </w:rPr>
        <w:t>3个</w:t>
      </w:r>
      <w:r>
        <w:rPr>
          <w:rFonts w:ascii="楷体" w:hAnsi="楷体" w:eastAsia="楷体" w:cs="仿宋_GB2312"/>
          <w:kern w:val="4"/>
          <w:sz w:val="21"/>
          <w:szCs w:val="21"/>
        </w:rPr>
        <w:t>公铁换乘枢纽。</w:t>
      </w:r>
    </w:p>
    <w:p>
      <w:pPr>
        <w:pBdr>
          <w:top w:val="single" w:color="auto" w:sz="4" w:space="1"/>
          <w:left w:val="single" w:color="auto" w:sz="4" w:space="4"/>
          <w:bottom w:val="single" w:color="auto" w:sz="4" w:space="1"/>
          <w:right w:val="single" w:color="auto" w:sz="4" w:space="4"/>
        </w:pBdr>
        <w:shd w:val="pct5" w:color="auto" w:fill="auto"/>
        <w:spacing w:line="360" w:lineRule="auto"/>
        <w:ind w:firstLine="420"/>
        <w:rPr>
          <w:rFonts w:ascii="楷体" w:hAnsi="楷体" w:eastAsia="楷体"/>
          <w:kern w:val="4"/>
          <w:sz w:val="21"/>
          <w:szCs w:val="21"/>
        </w:rPr>
      </w:pPr>
      <w:r>
        <w:rPr>
          <w:rFonts w:hint="eastAsia" w:ascii="楷体" w:hAnsi="楷体" w:eastAsia="楷体" w:cs="仿宋_GB2312"/>
          <w:kern w:val="4"/>
          <w:sz w:val="21"/>
          <w:szCs w:val="21"/>
        </w:rPr>
        <w:t>全面优化调整常规公交线网。重点围绕提高常规公交系统运行效率和服务水平，推动轨道、公交、慢行三网融合，强化重点地区与节点公交配套服务，合理利用新建和改建公交枢纽场站设施，整合公交线路资源。</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（2）发展更加便捷的城乡公交</w:t>
      </w:r>
    </w:p>
    <w:p>
      <w:pPr>
        <w:adjustRightInd w:val="0"/>
        <w:spacing w:line="560" w:lineRule="exact"/>
        <w:ind w:firstLine="602"/>
        <w:rPr>
          <w:rFonts w:ascii="Times New Roman" w:hAnsi="Times New Roman" w:eastAsia="仿宋_GB2312"/>
          <w:kern w:val="4"/>
          <w:sz w:val="30"/>
          <w:szCs w:val="30"/>
        </w:rPr>
      </w:pPr>
      <w:r>
        <w:rPr>
          <w:rFonts w:ascii="Times New Roman" w:hAnsi="Times New Roman" w:eastAsia="仿宋_GB2312"/>
          <w:b/>
          <w:kern w:val="4"/>
          <w:sz w:val="30"/>
          <w:szCs w:val="30"/>
        </w:rPr>
        <w:t>科学优化城乡客运线网</w:t>
      </w:r>
      <w:r>
        <w:rPr>
          <w:rFonts w:ascii="Times New Roman" w:hAnsi="Times New Roman" w:eastAsia="仿宋_GB2312"/>
          <w:kern w:val="4"/>
          <w:sz w:val="30"/>
          <w:szCs w:val="30"/>
        </w:rPr>
        <w:t>。统筹城乡客运一体化发展，打破部门、区域和行业分割，统筹规划城乡道路客运服务设施和运营网络，构建</w:t>
      </w:r>
      <w:r>
        <w:rPr>
          <w:rFonts w:hint="eastAsia" w:ascii="Times New Roman" w:hAnsi="Times New Roman" w:eastAsia="仿宋_GB2312"/>
          <w:kern w:val="4"/>
          <w:sz w:val="30"/>
          <w:szCs w:val="30"/>
        </w:rPr>
        <w:t>城</w:t>
      </w:r>
      <w:r>
        <w:rPr>
          <w:rFonts w:ascii="Times New Roman" w:hAnsi="Times New Roman" w:eastAsia="仿宋_GB2312"/>
          <w:kern w:val="4"/>
          <w:sz w:val="30"/>
          <w:szCs w:val="30"/>
        </w:rPr>
        <w:t>镇（永阳街道溧水汽车客运站至各镇）、镇镇（各镇至各镇）“一小时通达”公交客运网络。保证乘客在</w:t>
      </w:r>
      <w:r>
        <w:rPr>
          <w:rFonts w:hint="eastAsia" w:ascii="Times New Roman" w:hAnsi="Times New Roman" w:eastAsia="仿宋_GB2312"/>
          <w:kern w:val="4"/>
          <w:sz w:val="30"/>
          <w:szCs w:val="30"/>
        </w:rPr>
        <w:t>城</w:t>
      </w:r>
      <w:r>
        <w:rPr>
          <w:rFonts w:ascii="Times New Roman" w:hAnsi="Times New Roman" w:eastAsia="仿宋_GB2312"/>
          <w:kern w:val="4"/>
          <w:sz w:val="30"/>
          <w:szCs w:val="30"/>
        </w:rPr>
        <w:t>镇、镇镇之间（含换乘交通工具）出行时间控制在60分钟以内，镇村公交线路（街道、镇至行政村公交线路）出行时间控制在30分钟以内。</w:t>
      </w:r>
    </w:p>
    <w:p>
      <w:pPr>
        <w:spacing w:line="560" w:lineRule="exact"/>
        <w:ind w:firstLine="602"/>
        <w:rPr>
          <w:rFonts w:ascii="Times New Roman" w:hAnsi="Times New Roman" w:eastAsia="仿宋_GB2312"/>
          <w:kern w:val="4"/>
          <w:sz w:val="30"/>
          <w:szCs w:val="30"/>
        </w:rPr>
      </w:pPr>
      <w:r>
        <w:rPr>
          <w:rFonts w:ascii="Times New Roman" w:hAnsi="Times New Roman" w:eastAsia="仿宋_GB2312"/>
          <w:b/>
          <w:kern w:val="4"/>
          <w:sz w:val="30"/>
          <w:szCs w:val="30"/>
        </w:rPr>
        <w:t>完善城乡公交场站布局。</w:t>
      </w:r>
      <w:r>
        <w:rPr>
          <w:rFonts w:ascii="Times New Roman" w:hAnsi="Times New Roman" w:eastAsia="仿宋_GB2312"/>
          <w:kern w:val="4"/>
          <w:sz w:val="30"/>
          <w:szCs w:val="30"/>
        </w:rPr>
        <w:t>加快“以城区为中心、小城镇为纽带、乡村为基础，城乡依托、协调发展、无缝衔接”换乘枢纽体系建设，促进城乡客运与其他客运系统在站点功能和布局上的衔接。“十三五”期间，新建石湫（塘窦村）、白马（共和）、和凤</w:t>
      </w:r>
      <w:r>
        <w:rPr>
          <w:rFonts w:hint="eastAsia" w:ascii="Times New Roman" w:hAnsi="Times New Roman" w:eastAsia="仿宋_GB2312"/>
          <w:kern w:val="4"/>
          <w:sz w:val="30"/>
          <w:szCs w:val="30"/>
        </w:rPr>
        <w:t>、东</w:t>
      </w:r>
      <w:r>
        <w:rPr>
          <w:rFonts w:ascii="Times New Roman" w:hAnsi="Times New Roman" w:eastAsia="仿宋_GB2312"/>
          <w:kern w:val="4"/>
          <w:sz w:val="30"/>
          <w:szCs w:val="30"/>
        </w:rPr>
        <w:t>屏等</w:t>
      </w:r>
      <w:r>
        <w:rPr>
          <w:rFonts w:hint="eastAsia" w:ascii="Times New Roman" w:hAnsi="Times New Roman" w:eastAsia="仿宋_GB2312"/>
          <w:kern w:val="4"/>
          <w:sz w:val="30"/>
          <w:szCs w:val="30"/>
        </w:rPr>
        <w:t>农村</w:t>
      </w:r>
      <w:r>
        <w:rPr>
          <w:rFonts w:ascii="Times New Roman" w:hAnsi="Times New Roman" w:eastAsia="仿宋_GB2312"/>
          <w:kern w:val="4"/>
          <w:sz w:val="30"/>
          <w:szCs w:val="30"/>
        </w:rPr>
        <w:t>客运站4个</w:t>
      </w:r>
      <w:r>
        <w:rPr>
          <w:rFonts w:hint="eastAsia" w:ascii="Times New Roman" w:hAnsi="Times New Roman" w:eastAsia="仿宋_GB2312"/>
          <w:kern w:val="4"/>
          <w:sz w:val="30"/>
          <w:szCs w:val="30"/>
        </w:rPr>
        <w:t>，</w:t>
      </w:r>
      <w:r>
        <w:rPr>
          <w:rFonts w:ascii="Times New Roman" w:hAnsi="Times New Roman" w:eastAsia="仿宋_GB2312"/>
          <w:kern w:val="4"/>
          <w:sz w:val="30"/>
          <w:szCs w:val="30"/>
        </w:rPr>
        <w:t>行政村镇村公交回车场50个。</w:t>
      </w:r>
    </w:p>
    <w:p>
      <w:pPr>
        <w:spacing w:line="560" w:lineRule="exact"/>
        <w:ind w:firstLineChars="0"/>
        <w:jc w:val="center"/>
        <w:rPr>
          <w:rFonts w:ascii="Times New Roman" w:hAnsi="Times New Roman" w:eastAsia="黑体"/>
          <w:kern w:val="4"/>
          <w:sz w:val="24"/>
        </w:rPr>
      </w:pPr>
      <w:r>
        <w:rPr>
          <w:rFonts w:ascii="Times New Roman" w:hAnsi="Times New Roman" w:eastAsia="黑体"/>
          <w:kern w:val="4"/>
          <w:sz w:val="24"/>
        </w:rPr>
        <w:t xml:space="preserve">表4-5  </w:t>
      </w:r>
      <w:r>
        <w:rPr>
          <w:rFonts w:hint="eastAsia" w:ascii="Times New Roman" w:hAnsi="Times New Roman" w:eastAsia="黑体"/>
          <w:kern w:val="4"/>
          <w:sz w:val="24"/>
        </w:rPr>
        <w:t>农村</w:t>
      </w:r>
      <w:r>
        <w:rPr>
          <w:rFonts w:ascii="Times New Roman" w:hAnsi="Times New Roman" w:eastAsia="黑体"/>
          <w:kern w:val="4"/>
          <w:sz w:val="24"/>
        </w:rPr>
        <w:t>客运场站建设一览表</w:t>
      </w:r>
    </w:p>
    <w:tbl>
      <w:tblPr>
        <w:tblStyle w:val="30"/>
        <w:tblW w:w="8505"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214"/>
        <w:gridCol w:w="3222"/>
        <w:gridCol w:w="1968"/>
        <w:gridCol w:w="2101"/>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714" w:type="pct"/>
            <w:vMerge w:val="restart"/>
            <w:tcBorders>
              <w:top w:val="double" w:color="auto" w:sz="4" w:space="0"/>
            </w:tcBorders>
            <w:vAlign w:val="center"/>
          </w:tcPr>
          <w:p>
            <w:pPr>
              <w:widowControl/>
              <w:autoSpaceDE/>
              <w:autoSpaceDN/>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序号</w:t>
            </w:r>
          </w:p>
        </w:tc>
        <w:tc>
          <w:tcPr>
            <w:tcW w:w="1894" w:type="pct"/>
            <w:vMerge w:val="restart"/>
            <w:tcBorders>
              <w:top w:val="double" w:color="auto" w:sz="4" w:space="0"/>
            </w:tcBorders>
            <w:vAlign w:val="center"/>
          </w:tcPr>
          <w:p>
            <w:pPr>
              <w:widowControl/>
              <w:autoSpaceDE/>
              <w:autoSpaceDN/>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场站名称</w:t>
            </w:r>
          </w:p>
        </w:tc>
        <w:tc>
          <w:tcPr>
            <w:tcW w:w="1157" w:type="pct"/>
            <w:vMerge w:val="restart"/>
            <w:tcBorders>
              <w:top w:val="double" w:color="auto" w:sz="4" w:space="0"/>
            </w:tcBorders>
            <w:vAlign w:val="center"/>
          </w:tcPr>
          <w:p>
            <w:pPr>
              <w:widowControl/>
              <w:autoSpaceDE/>
              <w:autoSpaceDN/>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等级</w:t>
            </w:r>
          </w:p>
        </w:tc>
        <w:tc>
          <w:tcPr>
            <w:tcW w:w="1235" w:type="pct"/>
            <w:vMerge w:val="restart"/>
            <w:tcBorders>
              <w:top w:val="double" w:color="auto" w:sz="4" w:space="0"/>
            </w:tcBorders>
            <w:vAlign w:val="center"/>
          </w:tcPr>
          <w:p>
            <w:pPr>
              <w:widowControl/>
              <w:autoSpaceDE/>
              <w:autoSpaceDN/>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占地面积</w:t>
            </w:r>
          </w:p>
          <w:p>
            <w:pPr>
              <w:widowControl/>
              <w:autoSpaceDE/>
              <w:autoSpaceDN/>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（亩）</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41" w:hRule="atLeast"/>
          <w:tblHeader/>
          <w:jc w:val="center"/>
        </w:trPr>
        <w:tc>
          <w:tcPr>
            <w:tcW w:w="714" w:type="pct"/>
            <w:vMerge w:val="continue"/>
            <w:vAlign w:val="center"/>
          </w:tcPr>
          <w:p>
            <w:pPr>
              <w:widowControl/>
              <w:autoSpaceDE/>
              <w:autoSpaceDN/>
              <w:ind w:firstLine="0" w:firstLineChars="0"/>
              <w:jc w:val="center"/>
              <w:rPr>
                <w:rFonts w:ascii="Times New Roman" w:hAnsi="Times New Roman" w:eastAsia="楷体"/>
                <w:kern w:val="4"/>
                <w:sz w:val="21"/>
                <w:szCs w:val="21"/>
              </w:rPr>
            </w:pPr>
          </w:p>
        </w:tc>
        <w:tc>
          <w:tcPr>
            <w:tcW w:w="1894" w:type="pct"/>
            <w:vMerge w:val="continue"/>
            <w:vAlign w:val="center"/>
          </w:tcPr>
          <w:p>
            <w:pPr>
              <w:widowControl/>
              <w:autoSpaceDE/>
              <w:autoSpaceDN/>
              <w:ind w:firstLine="0" w:firstLineChars="0"/>
              <w:jc w:val="center"/>
              <w:rPr>
                <w:rFonts w:ascii="Times New Roman" w:hAnsi="Times New Roman" w:eastAsia="楷体"/>
                <w:kern w:val="4"/>
                <w:sz w:val="21"/>
                <w:szCs w:val="21"/>
              </w:rPr>
            </w:pPr>
          </w:p>
        </w:tc>
        <w:tc>
          <w:tcPr>
            <w:tcW w:w="1157" w:type="pct"/>
            <w:vMerge w:val="continue"/>
            <w:vAlign w:val="center"/>
          </w:tcPr>
          <w:p>
            <w:pPr>
              <w:widowControl/>
              <w:autoSpaceDE/>
              <w:autoSpaceDN/>
              <w:ind w:firstLine="0" w:firstLineChars="0"/>
              <w:jc w:val="center"/>
              <w:rPr>
                <w:rFonts w:ascii="Times New Roman" w:hAnsi="Times New Roman" w:eastAsia="楷体"/>
                <w:kern w:val="4"/>
                <w:sz w:val="21"/>
                <w:szCs w:val="21"/>
              </w:rPr>
            </w:pPr>
          </w:p>
        </w:tc>
        <w:tc>
          <w:tcPr>
            <w:tcW w:w="1235" w:type="pct"/>
            <w:vMerge w:val="continue"/>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14" w:type="pct"/>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w:t>
            </w:r>
          </w:p>
        </w:tc>
        <w:tc>
          <w:tcPr>
            <w:tcW w:w="1894" w:type="pct"/>
            <w:vAlign w:val="center"/>
          </w:tcPr>
          <w:p>
            <w:pPr>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共和（白马）</w:t>
            </w:r>
          </w:p>
        </w:tc>
        <w:tc>
          <w:tcPr>
            <w:tcW w:w="1157" w:type="pct"/>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四级</w:t>
            </w:r>
          </w:p>
        </w:tc>
        <w:tc>
          <w:tcPr>
            <w:tcW w:w="1235" w:type="pct"/>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5</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14" w:type="pct"/>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w:t>
            </w:r>
          </w:p>
        </w:tc>
        <w:tc>
          <w:tcPr>
            <w:tcW w:w="1894" w:type="pct"/>
            <w:vAlign w:val="center"/>
          </w:tcPr>
          <w:p>
            <w:pPr>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和凤</w:t>
            </w:r>
          </w:p>
        </w:tc>
        <w:tc>
          <w:tcPr>
            <w:tcW w:w="1157" w:type="pct"/>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四级</w:t>
            </w:r>
          </w:p>
        </w:tc>
        <w:tc>
          <w:tcPr>
            <w:tcW w:w="1235" w:type="pct"/>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7</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14" w:type="pct"/>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3</w:t>
            </w:r>
          </w:p>
        </w:tc>
        <w:tc>
          <w:tcPr>
            <w:tcW w:w="1894" w:type="pct"/>
            <w:vAlign w:val="center"/>
          </w:tcPr>
          <w:p>
            <w:pPr>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塘窦村（石湫）</w:t>
            </w:r>
          </w:p>
        </w:tc>
        <w:tc>
          <w:tcPr>
            <w:tcW w:w="1157" w:type="pct"/>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四级</w:t>
            </w:r>
          </w:p>
        </w:tc>
        <w:tc>
          <w:tcPr>
            <w:tcW w:w="1235" w:type="pct"/>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5</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14" w:type="pct"/>
            <w:tcBorders>
              <w:bottom w:val="double" w:color="auto" w:sz="4" w:space="0"/>
            </w:tcBorders>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4</w:t>
            </w:r>
          </w:p>
        </w:tc>
        <w:tc>
          <w:tcPr>
            <w:tcW w:w="1894" w:type="pct"/>
            <w:tcBorders>
              <w:bottom w:val="double" w:color="auto" w:sz="4" w:space="0"/>
            </w:tcBorders>
            <w:vAlign w:val="center"/>
          </w:tcPr>
          <w:p>
            <w:pPr>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东屏</w:t>
            </w:r>
          </w:p>
        </w:tc>
        <w:tc>
          <w:tcPr>
            <w:tcW w:w="1157" w:type="pct"/>
            <w:tcBorders>
              <w:bottom w:val="double" w:color="auto" w:sz="4" w:space="0"/>
            </w:tcBorders>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四级</w:t>
            </w:r>
          </w:p>
        </w:tc>
        <w:tc>
          <w:tcPr>
            <w:tcW w:w="1235" w:type="pct"/>
            <w:tcBorders>
              <w:bottom w:val="double" w:color="auto" w:sz="4" w:space="0"/>
            </w:tcBorders>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5</w:t>
            </w:r>
          </w:p>
        </w:tc>
      </w:tr>
    </w:tbl>
    <w:p>
      <w:pPr>
        <w:spacing w:afterLines="50"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建立多元化的农村客运服务体系。</w:t>
      </w:r>
      <w:r>
        <w:rPr>
          <w:rFonts w:ascii="Times New Roman" w:hAnsi="Times New Roman" w:eastAsia="仿宋_GB2312"/>
          <w:kern w:val="4"/>
          <w:sz w:val="30"/>
          <w:szCs w:val="30"/>
        </w:rPr>
        <w:t>针对农村居民出行时间、空间分布及需求类型等特殊性，积极探索适应市场需求的</w:t>
      </w:r>
      <w:r>
        <w:rPr>
          <w:rFonts w:hint="eastAsia" w:ascii="Times New Roman" w:hAnsi="Times New Roman" w:eastAsia="仿宋_GB2312"/>
          <w:kern w:val="4"/>
          <w:sz w:val="30"/>
          <w:szCs w:val="30"/>
        </w:rPr>
        <w:t>镇村</w:t>
      </w:r>
      <w:r>
        <w:rPr>
          <w:rFonts w:ascii="Times New Roman" w:hAnsi="Times New Roman" w:eastAsia="仿宋_GB2312"/>
          <w:kern w:val="4"/>
          <w:sz w:val="30"/>
          <w:szCs w:val="30"/>
        </w:rPr>
        <w:t>公交服务创新，采取定班定线、区域经营、循环运行、冷热线搭配、电话预约等经营模式，提高</w:t>
      </w:r>
      <w:r>
        <w:rPr>
          <w:rFonts w:hint="eastAsia" w:ascii="Times New Roman" w:hAnsi="Times New Roman" w:eastAsia="仿宋_GB2312"/>
          <w:kern w:val="4"/>
          <w:sz w:val="30"/>
          <w:szCs w:val="30"/>
        </w:rPr>
        <w:t>镇村公交</w:t>
      </w:r>
      <w:r>
        <w:rPr>
          <w:rFonts w:ascii="Times New Roman" w:hAnsi="Times New Roman" w:eastAsia="仿宋_GB2312"/>
          <w:kern w:val="4"/>
          <w:sz w:val="30"/>
          <w:szCs w:val="30"/>
        </w:rPr>
        <w:t>客运车辆的运行效率和经营效益，适应农村地区居住分散、出行不集中、就医就学为主的需求特征，增强农村客运吸引力。</w:t>
      </w:r>
    </w:p>
    <w:p>
      <w:pPr>
        <w:pBdr>
          <w:top w:val="single" w:color="auto" w:sz="4" w:space="1"/>
          <w:left w:val="single" w:color="auto" w:sz="4" w:space="4"/>
          <w:bottom w:val="single" w:color="auto" w:sz="4" w:space="1"/>
          <w:right w:val="single" w:color="auto" w:sz="4" w:space="4"/>
        </w:pBdr>
        <w:shd w:val="pct10" w:color="auto" w:fill="auto"/>
        <w:adjustRightInd w:val="0"/>
        <w:spacing w:line="360" w:lineRule="auto"/>
        <w:ind w:firstLine="0" w:firstLineChars="0"/>
        <w:jc w:val="center"/>
        <w:rPr>
          <w:rFonts w:ascii="Times New Roman" w:hAnsi="Times New Roman" w:eastAsia="楷体"/>
          <w:b/>
          <w:kern w:val="4"/>
          <w:sz w:val="24"/>
        </w:rPr>
      </w:pPr>
      <w:r>
        <w:rPr>
          <w:rFonts w:ascii="Times New Roman" w:hAnsi="Times New Roman" w:eastAsia="楷体"/>
          <w:b/>
          <w:kern w:val="4"/>
          <w:sz w:val="24"/>
        </w:rPr>
        <w:t>【专栏：四位一体的公共交通运输体系】</w:t>
      </w:r>
    </w:p>
    <w:p>
      <w:pPr>
        <w:pBdr>
          <w:top w:val="single" w:color="auto" w:sz="4" w:space="1"/>
          <w:left w:val="single" w:color="auto" w:sz="4" w:space="4"/>
          <w:bottom w:val="single" w:color="auto" w:sz="4" w:space="1"/>
          <w:right w:val="single" w:color="auto" w:sz="4" w:space="4"/>
        </w:pBdr>
        <w:shd w:val="pct10" w:color="auto" w:fill="auto"/>
        <w:adjustRightInd w:val="0"/>
        <w:spacing w:line="360" w:lineRule="auto"/>
        <w:ind w:firstLine="420"/>
        <w:rPr>
          <w:rFonts w:ascii="Times New Roman" w:hAnsi="Times New Roman" w:eastAsia="楷体"/>
          <w:kern w:val="4"/>
          <w:sz w:val="21"/>
          <w:szCs w:val="21"/>
        </w:rPr>
      </w:pPr>
      <w:r>
        <w:rPr>
          <w:rFonts w:ascii="Times New Roman" w:hAnsi="Times New Roman" w:eastAsia="楷体"/>
          <w:kern w:val="4"/>
          <w:sz w:val="21"/>
          <w:szCs w:val="21"/>
        </w:rPr>
        <w:t>至2020年，溧水至南京主城形成高铁、轻轨、高速、普通国省道四位一体的公共交通运输体系，出行方式呈现多样化，进一步拉近与南京都市圈时空距离。</w:t>
      </w:r>
    </w:p>
    <w:p>
      <w:pPr>
        <w:numPr>
          <w:ilvl w:val="0"/>
          <w:numId w:val="2"/>
        </w:numPr>
        <w:pBdr>
          <w:top w:val="single" w:color="auto" w:sz="4" w:space="1"/>
          <w:left w:val="single" w:color="auto" w:sz="4" w:space="4"/>
          <w:bottom w:val="single" w:color="auto" w:sz="4" w:space="1"/>
          <w:right w:val="single" w:color="auto" w:sz="4" w:space="4"/>
        </w:pBdr>
        <w:shd w:val="pct10" w:color="auto" w:fill="auto"/>
        <w:adjustRightInd w:val="0"/>
        <w:spacing w:line="360" w:lineRule="auto"/>
        <w:ind w:left="0" w:firstLine="420"/>
        <w:rPr>
          <w:rFonts w:ascii="Times New Roman" w:hAnsi="Times New Roman" w:eastAsia="楷体"/>
          <w:kern w:val="4"/>
          <w:sz w:val="21"/>
          <w:szCs w:val="21"/>
        </w:rPr>
      </w:pPr>
      <w:r>
        <w:rPr>
          <w:rFonts w:ascii="Times New Roman" w:hAnsi="Times New Roman" w:eastAsia="楷体"/>
          <w:kern w:val="4"/>
          <w:sz w:val="21"/>
          <w:szCs w:val="21"/>
        </w:rPr>
        <w:t>宁杭高铁：溧水高铁站至南京南站20分钟到达。</w:t>
      </w:r>
    </w:p>
    <w:p>
      <w:pPr>
        <w:numPr>
          <w:ilvl w:val="0"/>
          <w:numId w:val="2"/>
        </w:numPr>
        <w:pBdr>
          <w:top w:val="single" w:color="auto" w:sz="4" w:space="1"/>
          <w:left w:val="single" w:color="auto" w:sz="4" w:space="4"/>
          <w:bottom w:val="single" w:color="auto" w:sz="4" w:space="1"/>
          <w:right w:val="single" w:color="auto" w:sz="4" w:space="4"/>
        </w:pBdr>
        <w:shd w:val="pct10" w:color="auto" w:fill="auto"/>
        <w:adjustRightInd w:val="0"/>
        <w:spacing w:line="360" w:lineRule="auto"/>
        <w:ind w:left="0" w:firstLine="420"/>
        <w:rPr>
          <w:rFonts w:ascii="Times New Roman" w:hAnsi="Times New Roman" w:eastAsia="楷体"/>
          <w:kern w:val="4"/>
          <w:sz w:val="21"/>
          <w:szCs w:val="21"/>
        </w:rPr>
      </w:pPr>
      <w:r>
        <w:rPr>
          <w:rFonts w:ascii="Times New Roman" w:hAnsi="Times New Roman" w:eastAsia="楷体"/>
          <w:kern w:val="4"/>
          <w:sz w:val="21"/>
          <w:szCs w:val="21"/>
        </w:rPr>
        <w:t>轨道交通：S7线溧水汽车客运站至南京南站50分钟左右到达；S1线明觉至南京南站45分钟左右到达。</w:t>
      </w:r>
    </w:p>
    <w:p>
      <w:pPr>
        <w:numPr>
          <w:ilvl w:val="0"/>
          <w:numId w:val="2"/>
        </w:numPr>
        <w:pBdr>
          <w:top w:val="single" w:color="auto" w:sz="4" w:space="1"/>
          <w:left w:val="single" w:color="auto" w:sz="4" w:space="4"/>
          <w:bottom w:val="single" w:color="auto" w:sz="4" w:space="1"/>
          <w:right w:val="single" w:color="auto" w:sz="4" w:space="4"/>
        </w:pBdr>
        <w:shd w:val="pct10" w:color="auto" w:fill="auto"/>
        <w:adjustRightInd w:val="0"/>
        <w:spacing w:line="360" w:lineRule="auto"/>
        <w:ind w:left="0" w:firstLine="420"/>
        <w:rPr>
          <w:rFonts w:ascii="Times New Roman" w:hAnsi="Times New Roman" w:eastAsia="楷体"/>
          <w:kern w:val="4"/>
          <w:sz w:val="21"/>
          <w:szCs w:val="21"/>
        </w:rPr>
      </w:pPr>
      <w:r>
        <w:rPr>
          <w:rFonts w:ascii="Times New Roman" w:hAnsi="Times New Roman" w:eastAsia="楷体"/>
          <w:kern w:val="4"/>
          <w:sz w:val="21"/>
          <w:szCs w:val="21"/>
        </w:rPr>
        <w:t>高速公路：溧水汽车客运站经宁杭高速至南京南站35分钟左右到达；溧水汽车客运站经机场高速至南京南站45分钟左右到达。</w:t>
      </w:r>
    </w:p>
    <w:p>
      <w:pPr>
        <w:numPr>
          <w:ilvl w:val="0"/>
          <w:numId w:val="2"/>
        </w:numPr>
        <w:pBdr>
          <w:top w:val="single" w:color="auto" w:sz="4" w:space="1"/>
          <w:left w:val="single" w:color="auto" w:sz="4" w:space="4"/>
          <w:bottom w:val="single" w:color="auto" w:sz="4" w:space="1"/>
          <w:right w:val="single" w:color="auto" w:sz="4" w:space="4"/>
        </w:pBdr>
        <w:shd w:val="pct10" w:color="auto" w:fill="auto"/>
        <w:adjustRightInd w:val="0"/>
        <w:spacing w:line="360" w:lineRule="auto"/>
        <w:ind w:left="0" w:firstLine="420"/>
        <w:rPr>
          <w:rFonts w:ascii="Times New Roman" w:hAnsi="Times New Roman" w:eastAsia="楷体"/>
          <w:kern w:val="4"/>
          <w:sz w:val="21"/>
          <w:szCs w:val="21"/>
        </w:rPr>
      </w:pPr>
      <w:r>
        <w:rPr>
          <w:rFonts w:ascii="Times New Roman" w:hAnsi="Times New Roman" w:eastAsia="楷体"/>
          <w:kern w:val="4"/>
          <w:sz w:val="21"/>
          <w:szCs w:val="21"/>
        </w:rPr>
        <w:t>地面公交：201路公交省溧中西站发车经江宁翔宇路北站转乘机场轻轨线至南京南站80分钟左右到达；溧水汽车客运站至南京南站地面班线客车80分钟左右到达。</w:t>
      </w:r>
    </w:p>
    <w:p>
      <w:pPr>
        <w:spacing w:line="720" w:lineRule="exact"/>
        <w:ind w:firstLine="0" w:firstLineChars="0"/>
        <w:outlineLvl w:val="2"/>
        <w:rPr>
          <w:rFonts w:ascii="Times New Roman" w:hAnsi="Times New Roman" w:eastAsia="黑体"/>
          <w:kern w:val="4"/>
          <w:sz w:val="30"/>
          <w:szCs w:val="30"/>
        </w:rPr>
      </w:pPr>
      <w:bookmarkStart w:id="50" w:name="_Toc430076913"/>
      <w:bookmarkStart w:id="51" w:name="_Toc438123205"/>
      <w:r>
        <w:rPr>
          <w:rFonts w:ascii="Times New Roman" w:hAnsi="Times New Roman" w:eastAsia="黑体"/>
          <w:kern w:val="4"/>
          <w:sz w:val="30"/>
          <w:szCs w:val="30"/>
        </w:rPr>
        <w:t>4.2.2建立经济高效、衔接顺畅的货运服务体系</w:t>
      </w:r>
      <w:bookmarkEnd w:id="50"/>
      <w:bookmarkEnd w:id="51"/>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推动交通运输与现代物流融合发展，充分发挥交通运输在推进现代物流业发展中的基础和主体作用。“十三五”期间，基本建成便捷高效、安全绿色的交通运输物流服务体系，传统交通运输业转型升级取得明显突破，物流效率和服务水平</w:t>
      </w:r>
      <w:r>
        <w:rPr>
          <w:rFonts w:hint="eastAsia" w:ascii="Times New Roman" w:hAnsi="Times New Roman" w:eastAsia="仿宋_GB2312"/>
          <w:kern w:val="4"/>
          <w:sz w:val="30"/>
          <w:szCs w:val="30"/>
        </w:rPr>
        <w:t>明显</w:t>
      </w:r>
      <w:r>
        <w:rPr>
          <w:rFonts w:ascii="Times New Roman" w:hAnsi="Times New Roman" w:eastAsia="仿宋_GB2312"/>
          <w:kern w:val="4"/>
          <w:sz w:val="30"/>
          <w:szCs w:val="30"/>
        </w:rPr>
        <w:t>提升，基本适应溧水区经济社会发展的需求。</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（1）加快</w:t>
      </w:r>
      <w:r>
        <w:rPr>
          <w:rFonts w:hint="eastAsia" w:ascii="Times New Roman" w:hAnsi="Times New Roman" w:eastAsia="仿宋_GB2312"/>
          <w:b/>
          <w:kern w:val="4"/>
          <w:sz w:val="30"/>
          <w:szCs w:val="30"/>
        </w:rPr>
        <w:t>空港</w:t>
      </w:r>
      <w:r>
        <w:rPr>
          <w:rFonts w:ascii="Times New Roman" w:hAnsi="Times New Roman" w:eastAsia="仿宋_GB2312"/>
          <w:b/>
          <w:kern w:val="4"/>
          <w:sz w:val="30"/>
          <w:szCs w:val="30"/>
        </w:rPr>
        <w:t>物流基地建设</w:t>
      </w:r>
    </w:p>
    <w:p>
      <w:pPr>
        <w:spacing w:line="560" w:lineRule="exact"/>
        <w:ind w:firstLine="600"/>
        <w:rPr>
          <w:rFonts w:ascii="Times New Roman" w:hAnsi="Times New Roman" w:eastAsia="仿宋_GB2312"/>
          <w:kern w:val="4"/>
          <w:sz w:val="30"/>
          <w:szCs w:val="30"/>
        </w:rPr>
      </w:pPr>
      <w:r>
        <w:rPr>
          <w:rFonts w:hint="eastAsia" w:ascii="Times New Roman" w:hAnsi="Times New Roman" w:eastAsia="仿宋_GB2312"/>
          <w:kern w:val="4"/>
          <w:sz w:val="30"/>
          <w:szCs w:val="30"/>
        </w:rPr>
        <w:t>南京禄口国际机场是我国重要的国家区域性枢纽机场，依托禄口国际机场打造空港城，并以此巩固南京区域中心城市地位、提升南京城市国际地位、打造产业经济高地，已成为战略共识。溧水区作为空港核心区“一主两翼”的重要</w:t>
      </w:r>
      <w:r>
        <w:rPr>
          <w:rFonts w:ascii="Times New Roman" w:hAnsi="Times New Roman" w:eastAsia="仿宋_GB2312"/>
          <w:kern w:val="4"/>
          <w:sz w:val="30"/>
          <w:szCs w:val="30"/>
        </w:rPr>
        <w:t>的一翼，</w:t>
      </w:r>
      <w:r>
        <w:rPr>
          <w:rFonts w:hint="eastAsia" w:ascii="Times New Roman" w:hAnsi="Times New Roman" w:eastAsia="仿宋_GB2312"/>
          <w:kern w:val="4"/>
          <w:sz w:val="30"/>
          <w:szCs w:val="30"/>
        </w:rPr>
        <w:t>“十三五”期间应围绕空港枢纽经济区，发展航空物流，积极推进南京国际物流港、万科综合物流、普洛斯物流园等重点物流基地建设。</w:t>
      </w:r>
    </w:p>
    <w:p>
      <w:pPr>
        <w:pBdr>
          <w:top w:val="single" w:color="auto" w:sz="4" w:space="1"/>
          <w:left w:val="single" w:color="auto" w:sz="4" w:space="4"/>
          <w:bottom w:val="single" w:color="auto" w:sz="4" w:space="1"/>
          <w:right w:val="single" w:color="auto" w:sz="4" w:space="4"/>
        </w:pBdr>
        <w:shd w:val="pct5" w:color="auto" w:fill="auto"/>
        <w:spacing w:beforeLines="50" w:line="360" w:lineRule="auto"/>
        <w:ind w:firstLine="0" w:firstLineChars="0"/>
        <w:jc w:val="center"/>
        <w:rPr>
          <w:rFonts w:ascii="楷体" w:hAnsi="楷体" w:eastAsia="楷体"/>
          <w:kern w:val="4"/>
          <w:sz w:val="24"/>
        </w:rPr>
      </w:pPr>
      <w:r>
        <w:rPr>
          <w:rFonts w:hint="eastAsia" w:ascii="楷体" w:hAnsi="楷体" w:eastAsia="楷体"/>
          <w:kern w:val="4"/>
          <w:sz w:val="24"/>
        </w:rPr>
        <w:t>【</w:t>
      </w:r>
      <w:r>
        <w:rPr>
          <w:rFonts w:hint="eastAsia" w:ascii="楷体" w:hAnsi="楷体" w:eastAsia="楷体"/>
          <w:b/>
          <w:kern w:val="4"/>
          <w:sz w:val="24"/>
        </w:rPr>
        <w:t>专栏：南京空港枢纽经济区核心区—溧水片区</w:t>
      </w:r>
      <w:r>
        <w:rPr>
          <w:rFonts w:hint="eastAsia" w:ascii="楷体" w:hAnsi="楷体" w:eastAsia="楷体"/>
          <w:kern w:val="4"/>
          <w:sz w:val="24"/>
        </w:rPr>
        <w:t>】</w:t>
      </w:r>
    </w:p>
    <w:p>
      <w:pPr>
        <w:pBdr>
          <w:top w:val="single" w:color="auto" w:sz="4" w:space="1"/>
          <w:left w:val="single" w:color="auto" w:sz="4" w:space="4"/>
          <w:bottom w:val="single" w:color="auto" w:sz="4" w:space="1"/>
          <w:right w:val="single" w:color="auto" w:sz="4" w:space="4"/>
        </w:pBdr>
        <w:shd w:val="pct5" w:color="auto" w:fill="auto"/>
        <w:spacing w:line="360" w:lineRule="auto"/>
        <w:ind w:firstLine="420"/>
        <w:rPr>
          <w:rFonts w:ascii="楷体" w:hAnsi="楷体" w:eastAsia="楷体"/>
          <w:kern w:val="4"/>
          <w:sz w:val="21"/>
          <w:szCs w:val="21"/>
        </w:rPr>
      </w:pPr>
      <w:r>
        <w:rPr>
          <w:rFonts w:hint="eastAsia" w:ascii="楷体" w:hAnsi="楷体" w:eastAsia="楷体"/>
          <w:kern w:val="4"/>
          <w:sz w:val="21"/>
          <w:szCs w:val="21"/>
        </w:rPr>
        <w:t>根据《南京空港枢纽经济区核心区发展规划》研究成果，核心区规划形成“一主两翼”的总体空间结构，“一主”即机场主枢纽，以机场运营和保障为主，“两翼”即江宁片区、溧水片区。其中</w:t>
      </w:r>
      <w:r>
        <w:rPr>
          <w:rFonts w:ascii="楷体" w:hAnsi="楷体" w:eastAsia="楷体"/>
          <w:kern w:val="4"/>
          <w:sz w:val="21"/>
          <w:szCs w:val="21"/>
        </w:rPr>
        <w:t>，</w:t>
      </w:r>
      <w:r>
        <w:rPr>
          <w:rFonts w:hint="eastAsia" w:ascii="楷体" w:hAnsi="楷体" w:eastAsia="楷体"/>
          <w:kern w:val="4"/>
          <w:sz w:val="21"/>
          <w:szCs w:val="21"/>
        </w:rPr>
        <w:t>溧水片区：</w:t>
      </w:r>
    </w:p>
    <w:p>
      <w:pPr>
        <w:pBdr>
          <w:top w:val="single" w:color="auto" w:sz="4" w:space="1"/>
          <w:left w:val="single" w:color="auto" w:sz="4" w:space="4"/>
          <w:bottom w:val="single" w:color="auto" w:sz="4" w:space="1"/>
          <w:right w:val="single" w:color="auto" w:sz="4" w:space="4"/>
        </w:pBdr>
        <w:shd w:val="pct5" w:color="auto" w:fill="auto"/>
        <w:spacing w:line="360" w:lineRule="auto"/>
        <w:ind w:firstLine="420"/>
        <w:rPr>
          <w:rFonts w:ascii="楷体" w:hAnsi="楷体" w:eastAsia="楷体"/>
          <w:kern w:val="4"/>
          <w:sz w:val="21"/>
          <w:szCs w:val="21"/>
        </w:rPr>
      </w:pPr>
      <w:r>
        <w:rPr>
          <w:rFonts w:hint="eastAsia" w:ascii="楷体" w:hAnsi="楷体" w:eastAsia="楷体"/>
          <w:kern w:val="4"/>
          <w:sz w:val="21"/>
          <w:szCs w:val="21"/>
        </w:rPr>
        <w:t>√</w:t>
      </w:r>
      <w:r>
        <w:rPr>
          <w:rFonts w:ascii="楷体" w:hAnsi="楷体" w:eastAsia="楷体"/>
          <w:b/>
          <w:kern w:val="4"/>
          <w:sz w:val="21"/>
          <w:szCs w:val="21"/>
        </w:rPr>
        <w:t>规划范围：</w:t>
      </w:r>
      <w:r>
        <w:rPr>
          <w:rFonts w:ascii="楷体" w:hAnsi="楷体" w:eastAsia="楷体"/>
          <w:kern w:val="4"/>
          <w:sz w:val="21"/>
          <w:szCs w:val="21"/>
        </w:rPr>
        <w:t>北至二干河、西至溧水河、南至一干河、东至省道S243。面积约24.78平方千米</w:t>
      </w:r>
    </w:p>
    <w:p>
      <w:pPr>
        <w:pBdr>
          <w:top w:val="single" w:color="auto" w:sz="4" w:space="1"/>
          <w:left w:val="single" w:color="auto" w:sz="4" w:space="4"/>
          <w:bottom w:val="single" w:color="auto" w:sz="4" w:space="1"/>
          <w:right w:val="single" w:color="auto" w:sz="4" w:space="4"/>
        </w:pBdr>
        <w:shd w:val="pct5" w:color="auto" w:fill="auto"/>
        <w:spacing w:line="360" w:lineRule="auto"/>
        <w:ind w:firstLine="420"/>
        <w:rPr>
          <w:rFonts w:ascii="楷体" w:hAnsi="楷体" w:eastAsia="楷体"/>
          <w:kern w:val="4"/>
          <w:sz w:val="21"/>
          <w:szCs w:val="21"/>
        </w:rPr>
      </w:pPr>
      <w:r>
        <w:rPr>
          <w:rFonts w:hint="eastAsia" w:ascii="楷体" w:hAnsi="楷体" w:eastAsia="楷体"/>
          <w:kern w:val="4"/>
          <w:sz w:val="21"/>
          <w:szCs w:val="21"/>
        </w:rPr>
        <w:t>√</w:t>
      </w:r>
      <w:r>
        <w:rPr>
          <w:rFonts w:ascii="楷体" w:hAnsi="楷体" w:eastAsia="楷体"/>
          <w:b/>
          <w:kern w:val="4"/>
          <w:sz w:val="21"/>
          <w:szCs w:val="21"/>
        </w:rPr>
        <w:t>主要职能：</w:t>
      </w:r>
      <w:r>
        <w:rPr>
          <w:rFonts w:ascii="楷体" w:hAnsi="楷体" w:eastAsia="楷体"/>
          <w:kern w:val="4"/>
          <w:sz w:val="21"/>
          <w:szCs w:val="21"/>
        </w:rPr>
        <w:t>临空产业区及空港综合保税区</w:t>
      </w:r>
    </w:p>
    <w:p>
      <w:pPr>
        <w:pBdr>
          <w:top w:val="single" w:color="auto" w:sz="4" w:space="1"/>
          <w:left w:val="single" w:color="auto" w:sz="4" w:space="4"/>
          <w:bottom w:val="single" w:color="auto" w:sz="4" w:space="1"/>
          <w:right w:val="single" w:color="auto" w:sz="4" w:space="4"/>
        </w:pBdr>
        <w:shd w:val="pct5" w:color="auto" w:fill="auto"/>
        <w:spacing w:line="360" w:lineRule="auto"/>
        <w:ind w:firstLine="420"/>
        <w:rPr>
          <w:rFonts w:ascii="楷体" w:hAnsi="楷体" w:eastAsia="楷体"/>
          <w:kern w:val="4"/>
          <w:sz w:val="21"/>
          <w:szCs w:val="21"/>
        </w:rPr>
      </w:pPr>
      <w:r>
        <w:rPr>
          <w:rFonts w:hint="eastAsia" w:ascii="楷体" w:hAnsi="楷体" w:eastAsia="楷体"/>
          <w:kern w:val="4"/>
          <w:sz w:val="21"/>
          <w:szCs w:val="21"/>
        </w:rPr>
        <w:t>√</w:t>
      </w:r>
      <w:r>
        <w:rPr>
          <w:rFonts w:ascii="楷体" w:hAnsi="楷体" w:eastAsia="楷体"/>
          <w:b/>
          <w:kern w:val="4"/>
          <w:sz w:val="21"/>
          <w:szCs w:val="21"/>
        </w:rPr>
        <w:t>发展引导：</w:t>
      </w:r>
      <w:r>
        <w:rPr>
          <w:rFonts w:ascii="楷体" w:hAnsi="楷体" w:eastAsia="楷体"/>
          <w:kern w:val="4"/>
          <w:sz w:val="21"/>
          <w:szCs w:val="21"/>
        </w:rPr>
        <w:t>溧水片区主要安排综合保税和临空产业功能</w:t>
      </w:r>
    </w:p>
    <w:p>
      <w:pPr>
        <w:pBdr>
          <w:top w:val="single" w:color="auto" w:sz="4" w:space="1"/>
          <w:left w:val="single" w:color="auto" w:sz="4" w:space="4"/>
          <w:bottom w:val="single" w:color="auto" w:sz="4" w:space="1"/>
          <w:right w:val="single" w:color="auto" w:sz="4" w:space="4"/>
        </w:pBdr>
        <w:shd w:val="pct5" w:color="auto" w:fill="auto"/>
        <w:spacing w:line="360" w:lineRule="auto"/>
        <w:ind w:firstLine="420"/>
        <w:rPr>
          <w:rFonts w:ascii="楷体" w:hAnsi="楷体" w:eastAsia="楷体"/>
          <w:kern w:val="4"/>
          <w:sz w:val="21"/>
          <w:szCs w:val="21"/>
        </w:rPr>
      </w:pPr>
      <w:r>
        <w:rPr>
          <w:rFonts w:hint="eastAsia" w:ascii="楷体" w:hAnsi="楷体" w:eastAsia="楷体"/>
          <w:kern w:val="4"/>
          <w:sz w:val="21"/>
          <w:szCs w:val="21"/>
        </w:rPr>
        <w:t>√</w:t>
      </w:r>
      <w:r>
        <w:rPr>
          <w:rFonts w:ascii="楷体" w:hAnsi="楷体" w:eastAsia="楷体"/>
          <w:b/>
          <w:kern w:val="4"/>
          <w:sz w:val="21"/>
          <w:szCs w:val="21"/>
        </w:rPr>
        <w:t>空间布局：</w:t>
      </w:r>
      <w:r>
        <w:rPr>
          <w:rFonts w:ascii="楷体" w:hAnsi="楷体" w:eastAsia="楷体"/>
          <w:kern w:val="4"/>
          <w:sz w:val="21"/>
          <w:szCs w:val="21"/>
        </w:rPr>
        <w:t>规划在溧水片区东部偏北设置临空产业区，重点发展航空机电、通用航空等高端制造业，打造各具特色的产业集群，推动产业创新升级，形成以航空运输为基础、航空关联产业为支撑的高端产业体系。空港综合保税区位于溧水片区西南部，通过促进通关便利化，构建国际化营商环境，提升参与国际产业分工层次，建设富有活力的开放新高地。规划在溧水河、二干河两侧设置郊野公园用地</w:t>
      </w:r>
    </w:p>
    <w:p>
      <w:pPr>
        <w:pBdr>
          <w:top w:val="single" w:color="auto" w:sz="4" w:space="1"/>
          <w:left w:val="single" w:color="auto" w:sz="4" w:space="4"/>
          <w:bottom w:val="single" w:color="auto" w:sz="4" w:space="1"/>
          <w:right w:val="single" w:color="auto" w:sz="4" w:space="4"/>
        </w:pBdr>
        <w:shd w:val="pct5" w:color="auto" w:fill="auto"/>
        <w:spacing w:line="360" w:lineRule="auto"/>
        <w:ind w:firstLine="420"/>
        <w:rPr>
          <w:rFonts w:ascii="楷体" w:hAnsi="楷体" w:eastAsia="楷体"/>
          <w:kern w:val="4"/>
          <w:sz w:val="21"/>
          <w:szCs w:val="21"/>
        </w:rPr>
      </w:pPr>
      <w:r>
        <w:rPr>
          <w:rFonts w:hint="eastAsia" w:ascii="楷体" w:hAnsi="楷体" w:eastAsia="楷体"/>
          <w:kern w:val="4"/>
          <w:sz w:val="21"/>
          <w:szCs w:val="21"/>
        </w:rPr>
        <w:t>√</w:t>
      </w:r>
      <w:r>
        <w:rPr>
          <w:rFonts w:ascii="楷体" w:hAnsi="楷体" w:eastAsia="楷体"/>
          <w:b/>
          <w:kern w:val="4"/>
          <w:sz w:val="21"/>
          <w:szCs w:val="21"/>
        </w:rPr>
        <w:t>建设用地规模：</w:t>
      </w:r>
      <w:r>
        <w:rPr>
          <w:rFonts w:ascii="楷体" w:hAnsi="楷体" w:eastAsia="楷体"/>
          <w:kern w:val="4"/>
          <w:sz w:val="21"/>
          <w:szCs w:val="21"/>
        </w:rPr>
        <w:t>至2030年，溧水片区城镇建设用地面积约为9.82平方千米，以一类工业用地、物流仓储用地及相应服务设施用地为主</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（2）推进农村物流快速发展</w:t>
      </w:r>
    </w:p>
    <w:p>
      <w:pPr>
        <w:spacing w:line="560" w:lineRule="exact"/>
        <w:ind w:firstLine="602"/>
        <w:rPr>
          <w:rFonts w:ascii="Times New Roman" w:hAnsi="Times New Roman" w:eastAsia="楷体"/>
          <w:b/>
          <w:kern w:val="4"/>
          <w:sz w:val="30"/>
          <w:szCs w:val="30"/>
        </w:rPr>
      </w:pPr>
      <w:r>
        <w:rPr>
          <w:rFonts w:ascii="Times New Roman" w:hAnsi="Times New Roman" w:eastAsia="仿宋_GB2312"/>
          <w:b/>
          <w:kern w:val="4"/>
          <w:sz w:val="30"/>
          <w:szCs w:val="30"/>
        </w:rPr>
        <w:t>推进邮政基础设施建设。</w:t>
      </w:r>
      <w:r>
        <w:rPr>
          <w:rFonts w:ascii="Times New Roman" w:hAnsi="Times New Roman" w:eastAsia="仿宋_GB2312"/>
          <w:kern w:val="4"/>
          <w:sz w:val="30"/>
          <w:szCs w:val="30"/>
        </w:rPr>
        <w:t>结合溧水区邮政发展特点和农村发展需要，加快制订城乡邮政基础设施建设规划，完善农村邮政物流布局，切实提高农村邮政服务水平。进一步加大投入和支持力度，切实加强村邮站的建设。着力打造管理集约化、网络规模化、服务社会化的现代农村邮政物流综合服务平台。</w:t>
      </w:r>
    </w:p>
    <w:p>
      <w:pPr>
        <w:spacing w:line="560" w:lineRule="exact"/>
        <w:ind w:firstLine="602"/>
        <w:rPr>
          <w:rFonts w:ascii="Times New Roman" w:hAnsi="Times New Roman" w:eastAsia="仿宋_GB2312"/>
          <w:b/>
          <w:kern w:val="4"/>
          <w:sz w:val="30"/>
          <w:szCs w:val="30"/>
        </w:rPr>
      </w:pPr>
      <w:r>
        <w:rPr>
          <w:rFonts w:hint="eastAsia" w:ascii="Times New Roman" w:hAnsi="Times New Roman" w:eastAsia="仿宋_GB2312"/>
          <w:b/>
          <w:kern w:val="4"/>
          <w:sz w:val="30"/>
          <w:szCs w:val="30"/>
        </w:rPr>
        <w:t>加快</w:t>
      </w:r>
      <w:r>
        <w:rPr>
          <w:rFonts w:ascii="Times New Roman" w:hAnsi="Times New Roman" w:eastAsia="仿宋_GB2312"/>
          <w:b/>
          <w:kern w:val="4"/>
          <w:sz w:val="30"/>
          <w:szCs w:val="30"/>
        </w:rPr>
        <w:t>三级</w:t>
      </w:r>
      <w:r>
        <w:rPr>
          <w:rFonts w:hint="eastAsia" w:ascii="Times New Roman" w:hAnsi="Times New Roman" w:eastAsia="仿宋_GB2312"/>
          <w:b/>
          <w:kern w:val="4"/>
          <w:sz w:val="30"/>
          <w:szCs w:val="30"/>
        </w:rPr>
        <w:t>配送</w:t>
      </w:r>
      <w:r>
        <w:rPr>
          <w:rFonts w:ascii="Times New Roman" w:hAnsi="Times New Roman" w:eastAsia="仿宋_GB2312"/>
          <w:b/>
          <w:kern w:val="4"/>
          <w:sz w:val="30"/>
          <w:szCs w:val="30"/>
        </w:rPr>
        <w:t>网络建设。</w:t>
      </w:r>
      <w:r>
        <w:rPr>
          <w:rFonts w:hint="eastAsia" w:ascii="Times New Roman" w:hAnsi="Times New Roman" w:eastAsia="仿宋_GB2312"/>
          <w:kern w:val="4"/>
          <w:sz w:val="30"/>
          <w:szCs w:val="30"/>
        </w:rPr>
        <w:t>加快建成“城际、城市、城乡”三级配送网相互衔接、相互支撑的配送枢纽。各镇街结合产业发展配套物流，和凤围绕粮油交易市场发展粮油物流、农产品冷链物流和石臼湖水运物流；白马发展农产品冷链物流；东屏发展医药物流。</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（3）引导货运物流市场发展</w:t>
      </w:r>
    </w:p>
    <w:p>
      <w:pPr>
        <w:spacing w:line="560" w:lineRule="exact"/>
        <w:ind w:firstLine="602"/>
        <w:rPr>
          <w:rFonts w:ascii="Times New Roman" w:hAnsi="Times New Roman" w:eastAsia="楷体"/>
          <w:b/>
          <w:kern w:val="4"/>
          <w:sz w:val="30"/>
          <w:szCs w:val="30"/>
        </w:rPr>
      </w:pPr>
      <w:r>
        <w:rPr>
          <w:rFonts w:ascii="Times New Roman" w:hAnsi="Times New Roman" w:eastAsia="仿宋_GB2312"/>
          <w:b/>
          <w:kern w:val="4"/>
          <w:sz w:val="30"/>
          <w:szCs w:val="30"/>
        </w:rPr>
        <w:t>引导货运企业转型发展。</w:t>
      </w:r>
      <w:r>
        <w:rPr>
          <w:rFonts w:ascii="Times New Roman" w:hAnsi="Times New Roman" w:eastAsia="仿宋_GB2312"/>
          <w:kern w:val="4"/>
          <w:sz w:val="30"/>
          <w:szCs w:val="30"/>
        </w:rPr>
        <w:t>提高货运企业准入标准和严格准入审批，采用“政府引导、市场运作”的方式，鼓励和推动装卸、运输、仓储和中介等各运输环节的货运企业联营合作，打造一批规模化、集约化和品牌化的货运企业。打造快递中心，促进快递资源的适度集聚和货运功能的优化整合。加快货运企业的转型升级，提高货运产业的服务水平，适应经济社会的发展需求。</w:t>
      </w:r>
    </w:p>
    <w:p>
      <w:pPr>
        <w:spacing w:line="560" w:lineRule="exact"/>
        <w:ind w:firstLine="602"/>
        <w:rPr>
          <w:rFonts w:ascii="Times New Roman" w:hAnsi="Times New Roman" w:eastAsia="楷体"/>
          <w:b/>
          <w:kern w:val="4"/>
          <w:sz w:val="30"/>
          <w:szCs w:val="30"/>
        </w:rPr>
      </w:pPr>
      <w:r>
        <w:rPr>
          <w:rFonts w:hint="eastAsia" w:ascii="Times New Roman" w:hAnsi="Times New Roman" w:eastAsia="仿宋_GB2312"/>
          <w:b/>
          <w:kern w:val="4"/>
          <w:sz w:val="30"/>
          <w:szCs w:val="30"/>
        </w:rPr>
        <w:t>积极发展多式联运。</w:t>
      </w:r>
      <w:r>
        <w:rPr>
          <w:rFonts w:ascii="Times New Roman" w:hAnsi="Times New Roman" w:eastAsia="仿宋_GB2312"/>
          <w:kern w:val="4"/>
          <w:sz w:val="30"/>
          <w:szCs w:val="30"/>
        </w:rPr>
        <w:t>整合货运资源，促进传统货运业向现代物流业快速转变，积极推行箱式运输、甩挂运输、</w:t>
      </w:r>
      <w:r>
        <w:rPr>
          <w:rFonts w:hint="eastAsia" w:ascii="Times New Roman" w:hAnsi="Times New Roman" w:eastAsia="仿宋_GB2312"/>
          <w:kern w:val="4"/>
          <w:sz w:val="30"/>
          <w:szCs w:val="30"/>
        </w:rPr>
        <w:t>陆空</w:t>
      </w:r>
      <w:r>
        <w:rPr>
          <w:rFonts w:ascii="Times New Roman" w:hAnsi="Times New Roman" w:eastAsia="仿宋_GB2312"/>
          <w:kern w:val="4"/>
          <w:sz w:val="30"/>
          <w:szCs w:val="30"/>
        </w:rPr>
        <w:t>、公铁</w:t>
      </w:r>
      <w:r>
        <w:rPr>
          <w:rFonts w:hint="eastAsia" w:ascii="Times New Roman" w:hAnsi="Times New Roman" w:eastAsia="仿宋_GB2312"/>
          <w:kern w:val="4"/>
          <w:sz w:val="30"/>
          <w:szCs w:val="30"/>
        </w:rPr>
        <w:t>、</w:t>
      </w:r>
      <w:r>
        <w:rPr>
          <w:rFonts w:ascii="Times New Roman" w:hAnsi="Times New Roman" w:eastAsia="仿宋_GB2312"/>
          <w:kern w:val="4"/>
          <w:sz w:val="30"/>
          <w:szCs w:val="30"/>
        </w:rPr>
        <w:t>公水等多式联运和节点运输。以部分基础条件较好、管理水平较成熟的物流运输企业为对象，用足用好上级出台的优惠扶持政策。重点培育扶持2-3家物流企业，带动以信息化技术为管理手段、集仓储运输于一体的第三方物流的发展。</w:t>
      </w:r>
    </w:p>
    <w:p>
      <w:pPr>
        <w:spacing w:line="560" w:lineRule="exact"/>
        <w:ind w:firstLine="602"/>
        <w:rPr>
          <w:rFonts w:ascii="Times New Roman" w:hAnsi="Times New Roman" w:eastAsia="楷体"/>
          <w:b/>
          <w:kern w:val="4"/>
          <w:sz w:val="30"/>
          <w:szCs w:val="30"/>
        </w:rPr>
      </w:pPr>
      <w:r>
        <w:rPr>
          <w:rFonts w:ascii="Times New Roman" w:hAnsi="Times New Roman" w:eastAsia="仿宋_GB2312"/>
          <w:b/>
          <w:kern w:val="4"/>
          <w:sz w:val="30"/>
          <w:szCs w:val="30"/>
        </w:rPr>
        <w:t>继续加强货运行业监管。</w:t>
      </w:r>
      <w:r>
        <w:rPr>
          <w:rFonts w:ascii="Times New Roman" w:hAnsi="Times New Roman" w:eastAsia="仿宋_GB2312"/>
          <w:kern w:val="4"/>
          <w:sz w:val="30"/>
          <w:szCs w:val="30"/>
        </w:rPr>
        <w:t>倡导“诚实守信、质量第一”，实行诚信考核、信用监督和失信惩罚制度。进一步深化货运行业质量信誉管理，建立行业诚信管理体系，提升货运物流业服务水平。同时，继续强化落实“三把关一监督”制度，认真履行运输市场安全监督职责，积极探索建立安全管理长效机制，推行运输安全生产责任奖罚制度和安全生产事故连带责任追究制度，督促运输企业切实履行安全生产主体责任。</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（4）提高货运物流服务水平</w:t>
      </w:r>
    </w:p>
    <w:p>
      <w:pPr>
        <w:spacing w:line="560" w:lineRule="exact"/>
        <w:ind w:firstLine="602"/>
        <w:rPr>
          <w:rFonts w:ascii="Times New Roman" w:hAnsi="Times New Roman" w:eastAsia="仿宋_GB2312"/>
          <w:kern w:val="4"/>
          <w:sz w:val="30"/>
          <w:szCs w:val="30"/>
        </w:rPr>
      </w:pPr>
      <w:r>
        <w:rPr>
          <w:rFonts w:ascii="Times New Roman" w:hAnsi="Times New Roman" w:eastAsia="仿宋_GB2312"/>
          <w:b/>
          <w:kern w:val="4"/>
          <w:sz w:val="30"/>
          <w:szCs w:val="30"/>
        </w:rPr>
        <w:t>提升载运工具技术水平。</w:t>
      </w:r>
      <w:r>
        <w:rPr>
          <w:rFonts w:ascii="Times New Roman" w:hAnsi="Times New Roman" w:eastAsia="仿宋_GB2312"/>
          <w:kern w:val="4"/>
          <w:sz w:val="30"/>
          <w:szCs w:val="30"/>
        </w:rPr>
        <w:t>根据货运工具大型化、专业化、标准化和环保化的发展要求，结合本地货物运输实际，加快调整优化道路车辆运力结构，推动运输装备向大型化、专业化和标准化方向发展，积极引导企业购买科技含量高、技术性能好、高效低耗的专用车辆。水路加快实施船型标准化工程，大力推进标准化、专业化船舶发展，加快淘汰老旧落后船型，推广使用标准船型船舶，提升标准船型船舶比例。</w:t>
      </w:r>
    </w:p>
    <w:p>
      <w:pPr>
        <w:spacing w:line="560" w:lineRule="exact"/>
        <w:ind w:firstLine="602"/>
        <w:rPr>
          <w:rFonts w:ascii="Times New Roman" w:hAnsi="Times New Roman" w:eastAsia="仿宋_GB2312"/>
          <w:kern w:val="4"/>
          <w:sz w:val="30"/>
          <w:szCs w:val="30"/>
        </w:rPr>
      </w:pPr>
      <w:r>
        <w:rPr>
          <w:rFonts w:ascii="Times New Roman" w:hAnsi="Times New Roman" w:eastAsia="仿宋_GB2312"/>
          <w:b/>
          <w:kern w:val="4"/>
          <w:sz w:val="30"/>
          <w:szCs w:val="30"/>
        </w:rPr>
        <w:t>提升物流信息服务水平。</w:t>
      </w:r>
      <w:r>
        <w:rPr>
          <w:rFonts w:hint="eastAsia" w:ascii="Times New Roman" w:hAnsi="Times New Roman" w:eastAsia="仿宋_GB2312"/>
          <w:kern w:val="4"/>
          <w:sz w:val="30"/>
          <w:szCs w:val="30"/>
        </w:rPr>
        <w:t>依托区内云计算产业，提升物流信息化水平，鼓励智能标签、电子数据交换、农产品流通追溯体系等现代物流技术的开发利用。</w:t>
      </w:r>
      <w:r>
        <w:rPr>
          <w:rFonts w:ascii="Times New Roman" w:hAnsi="Times New Roman" w:eastAsia="仿宋_GB2312"/>
          <w:kern w:val="4"/>
          <w:sz w:val="30"/>
          <w:szCs w:val="30"/>
        </w:rPr>
        <w:t>建设物流公共信息平台，采取政府推动、企业运作模式，利用GPS、GIS信息技术、物联网等科技手段建设具有信息汇总融合、在线交易、信息共享的物流信息中心，协调各个物流基地、市场、企业和行业管理部门的信息，同时和南京市、江苏省物流信息平台实行联网。</w:t>
      </w:r>
      <w:r>
        <w:rPr>
          <w:rFonts w:hint="eastAsia" w:ascii="Times New Roman" w:hAnsi="Times New Roman" w:eastAsia="仿宋_GB2312"/>
          <w:kern w:val="4"/>
          <w:sz w:val="30"/>
          <w:szCs w:val="30"/>
        </w:rPr>
        <w:t>到</w:t>
      </w:r>
      <w:r>
        <w:rPr>
          <w:rFonts w:ascii="Times New Roman" w:hAnsi="Times New Roman" w:eastAsia="仿宋_GB2312"/>
          <w:kern w:val="4"/>
          <w:sz w:val="30"/>
          <w:szCs w:val="30"/>
        </w:rPr>
        <w:t>2020年，物流业增加值占地区生产总值比重达到7%。</w:t>
      </w:r>
    </w:p>
    <w:p>
      <w:pPr>
        <w:spacing w:line="720" w:lineRule="exact"/>
        <w:ind w:firstLine="0" w:firstLineChars="0"/>
        <w:outlineLvl w:val="2"/>
        <w:rPr>
          <w:rFonts w:ascii="Times New Roman" w:hAnsi="Times New Roman" w:eastAsia="黑体"/>
          <w:kern w:val="4"/>
          <w:sz w:val="30"/>
          <w:szCs w:val="30"/>
        </w:rPr>
      </w:pPr>
      <w:bookmarkStart w:id="52" w:name="_Toc430076914"/>
      <w:bookmarkStart w:id="53" w:name="_Toc438123206"/>
      <w:r>
        <w:rPr>
          <w:rFonts w:ascii="Times New Roman" w:hAnsi="Times New Roman" w:eastAsia="黑体"/>
          <w:kern w:val="4"/>
          <w:sz w:val="30"/>
          <w:szCs w:val="30"/>
        </w:rPr>
        <w:t>4.2.3建立统一开放、规范有序的</w:t>
      </w:r>
      <w:bookmarkEnd w:id="52"/>
      <w:r>
        <w:rPr>
          <w:rFonts w:ascii="Times New Roman" w:hAnsi="Times New Roman" w:eastAsia="黑体"/>
          <w:kern w:val="4"/>
          <w:sz w:val="30"/>
          <w:szCs w:val="30"/>
        </w:rPr>
        <w:t>服务配套体系</w:t>
      </w:r>
      <w:bookmarkEnd w:id="53"/>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（1）加快维修行业发展</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稳步推进行业人才培养，加快推进行业节能减排和绿色汽修进程，扎实推进行业市场体系建设，力争通过“十三五”的发展，建立统一、开放、有序竞争的机动车维修服务市场。</w:t>
      </w:r>
    </w:p>
    <w:p>
      <w:pPr>
        <w:spacing w:line="560" w:lineRule="exact"/>
        <w:ind w:firstLine="602"/>
        <w:rPr>
          <w:rFonts w:ascii="Times New Roman" w:hAnsi="Times New Roman" w:eastAsia="仿宋_GB2312"/>
          <w:kern w:val="4"/>
          <w:sz w:val="30"/>
          <w:szCs w:val="30"/>
        </w:rPr>
      </w:pPr>
      <w:r>
        <w:rPr>
          <w:rFonts w:ascii="Times New Roman" w:hAnsi="Times New Roman" w:eastAsia="仿宋_GB2312"/>
          <w:b/>
          <w:kern w:val="4"/>
          <w:sz w:val="30"/>
          <w:szCs w:val="30"/>
        </w:rPr>
        <w:t>提升从业队伍整体素养。</w:t>
      </w:r>
      <w:r>
        <w:rPr>
          <w:rFonts w:ascii="Times New Roman" w:hAnsi="Times New Roman" w:eastAsia="仿宋_GB2312"/>
          <w:kern w:val="4"/>
          <w:sz w:val="30"/>
          <w:szCs w:val="30"/>
        </w:rPr>
        <w:t>通过举办各种形式的汽车维修、诊断、检测技能竞赛，行业大比武等活动，不断提高汽车维修技术工人学习新技术的积极性和主动性，提高汽车维修行业的技术素养。</w:t>
      </w:r>
    </w:p>
    <w:p>
      <w:pPr>
        <w:spacing w:line="560" w:lineRule="exact"/>
        <w:ind w:firstLine="602"/>
        <w:rPr>
          <w:rFonts w:ascii="Times New Roman" w:hAnsi="Times New Roman" w:eastAsia="仿宋_GB2312"/>
          <w:kern w:val="4"/>
          <w:sz w:val="30"/>
          <w:szCs w:val="30"/>
        </w:rPr>
      </w:pPr>
      <w:r>
        <w:rPr>
          <w:rFonts w:ascii="Times New Roman" w:hAnsi="Times New Roman" w:eastAsia="仿宋_GB2312"/>
          <w:b/>
          <w:kern w:val="4"/>
          <w:sz w:val="30"/>
          <w:szCs w:val="30"/>
        </w:rPr>
        <w:t>加快推进绿色汽修进程。</w:t>
      </w:r>
      <w:r>
        <w:rPr>
          <w:rFonts w:ascii="Times New Roman" w:hAnsi="Times New Roman" w:eastAsia="仿宋_GB2312"/>
          <w:kern w:val="4"/>
          <w:sz w:val="30"/>
          <w:szCs w:val="30"/>
        </w:rPr>
        <w:t>积极应用推广安全、节能、环保、高效的先进维修技术，强化节油型车辆、新能源车辆等节能环保新技术、新设备在行业内的推广应用。推进烤漆房油改电项目进程，强化车辆维修作业产品回收利用，全面构建机动车尾气防治网络，大力发展循环经济，积极推行“绿色维修”。严格营运车辆燃料消耗和排放的检测管理。</w:t>
      </w:r>
    </w:p>
    <w:p>
      <w:pPr>
        <w:spacing w:line="560" w:lineRule="exact"/>
        <w:ind w:firstLine="602"/>
        <w:rPr>
          <w:rFonts w:ascii="Times New Roman" w:hAnsi="Times New Roman" w:eastAsia="仿宋_GB2312"/>
          <w:kern w:val="4"/>
          <w:sz w:val="30"/>
          <w:szCs w:val="30"/>
        </w:rPr>
      </w:pPr>
      <w:r>
        <w:rPr>
          <w:rFonts w:ascii="Times New Roman" w:hAnsi="Times New Roman" w:eastAsia="仿宋_GB2312"/>
          <w:b/>
          <w:kern w:val="4"/>
          <w:sz w:val="30"/>
          <w:szCs w:val="30"/>
        </w:rPr>
        <w:t>加快推进产业结构调整。</w:t>
      </w:r>
      <w:r>
        <w:rPr>
          <w:rFonts w:ascii="Times New Roman" w:hAnsi="Times New Roman" w:eastAsia="仿宋_GB2312"/>
          <w:kern w:val="4"/>
          <w:sz w:val="30"/>
          <w:szCs w:val="30"/>
        </w:rPr>
        <w:t>加大对汽车品牌经营的扶持，引导和鼓励快修连锁品牌发展，培育门店一站式快修连锁企业。积极扶持、引导建立汽车售后服修站，提升行业维修品牌，重点抓好3-5个重点维修企业的扶持和其他大型企业的引进，做大做强龙头企业。</w:t>
      </w:r>
    </w:p>
    <w:p>
      <w:pPr>
        <w:spacing w:line="560" w:lineRule="exact"/>
        <w:ind w:firstLine="602"/>
        <w:rPr>
          <w:rFonts w:ascii="Times New Roman" w:hAnsi="Times New Roman" w:eastAsia="仿宋_GB2312"/>
          <w:kern w:val="4"/>
          <w:sz w:val="30"/>
          <w:szCs w:val="30"/>
        </w:rPr>
      </w:pPr>
      <w:r>
        <w:rPr>
          <w:rFonts w:ascii="Times New Roman" w:hAnsi="Times New Roman" w:eastAsia="仿宋_GB2312"/>
          <w:b/>
          <w:kern w:val="4"/>
          <w:sz w:val="30"/>
          <w:szCs w:val="30"/>
        </w:rPr>
        <w:t>继续净化</w:t>
      </w:r>
      <w:r>
        <w:rPr>
          <w:rFonts w:hint="eastAsia" w:ascii="Times New Roman" w:hAnsi="Times New Roman" w:eastAsia="仿宋_GB2312"/>
          <w:b/>
          <w:kern w:val="4"/>
          <w:sz w:val="30"/>
          <w:szCs w:val="30"/>
        </w:rPr>
        <w:t>交通</w:t>
      </w:r>
      <w:r>
        <w:rPr>
          <w:rFonts w:ascii="Times New Roman" w:hAnsi="Times New Roman" w:eastAsia="仿宋_GB2312"/>
          <w:b/>
          <w:kern w:val="4"/>
          <w:sz w:val="30"/>
          <w:szCs w:val="30"/>
        </w:rPr>
        <w:t>市场环境。</w:t>
      </w:r>
      <w:r>
        <w:rPr>
          <w:rFonts w:ascii="Times New Roman" w:hAnsi="Times New Roman" w:eastAsia="仿宋_GB2312"/>
          <w:kern w:val="4"/>
          <w:sz w:val="30"/>
          <w:szCs w:val="30"/>
        </w:rPr>
        <w:t>打击无证经营、超范围经营等违规经营行为，对经营设备、设施简陋，资质条件较差及维修质量得不到保障的维修业户进行限期整改，在规定时间内仍不符合开业经营条件的坚决予以取缔，强化行业政策的监督与落实，进一步净化市场秩序。</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（2）科学发展驾培行业</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加大新《机动车驾驶员培训机构资格条件》、《机动车驾驶培训教练场技术要求》的宣传力度。对驾校存在的问题提出整改要求，督促驾校在车辆、人员、设施设备方面进行整改，在规定期限内整改到位。</w:t>
      </w:r>
    </w:p>
    <w:p>
      <w:pPr>
        <w:spacing w:line="560" w:lineRule="exact"/>
        <w:ind w:firstLine="594" w:firstLineChars="198"/>
        <w:rPr>
          <w:rFonts w:ascii="Times New Roman" w:hAnsi="Times New Roman" w:eastAsia="仿宋_GB2312"/>
          <w:kern w:val="4"/>
          <w:sz w:val="30"/>
          <w:szCs w:val="30"/>
        </w:rPr>
      </w:pPr>
      <w:r>
        <w:rPr>
          <w:rFonts w:ascii="Times New Roman" w:hAnsi="Times New Roman" w:eastAsia="仿宋_GB2312"/>
          <w:kern w:val="4"/>
          <w:sz w:val="30"/>
          <w:szCs w:val="30"/>
        </w:rPr>
        <w:t>全面使用运政信息系统开展行业管理工作，利用GPS定位系统，掌控全区教练车的动态使用过程，对部分不按规定线路行驶的教练车，坚决予以纠正。同时，督促全区驾校开展智能化管理系统的升级工作，并在现场逐车检查，以确保系统的正常运行。</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（3）大力发展汽车租赁业</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公务用车改革后，政府用车需求增加，导致汽车租赁业需求旺盛。</w:t>
      </w:r>
      <w:r>
        <w:rPr>
          <w:rFonts w:hint="eastAsia" w:ascii="Times New Roman" w:hAnsi="Times New Roman" w:eastAsia="仿宋_GB2312"/>
          <w:kern w:val="4"/>
          <w:sz w:val="30"/>
          <w:szCs w:val="30"/>
        </w:rPr>
        <w:t>“</w:t>
      </w:r>
      <w:r>
        <w:rPr>
          <w:rFonts w:ascii="Times New Roman" w:hAnsi="Times New Roman" w:eastAsia="仿宋_GB2312"/>
          <w:kern w:val="4"/>
          <w:sz w:val="30"/>
          <w:szCs w:val="30"/>
        </w:rPr>
        <w:t>十三五</w:t>
      </w:r>
      <w:r>
        <w:rPr>
          <w:rFonts w:hint="eastAsia" w:ascii="Times New Roman" w:hAnsi="Times New Roman" w:eastAsia="仿宋_GB2312"/>
          <w:kern w:val="4"/>
          <w:sz w:val="30"/>
          <w:szCs w:val="30"/>
        </w:rPr>
        <w:t>”</w:t>
      </w:r>
      <w:r>
        <w:rPr>
          <w:rFonts w:ascii="Times New Roman" w:hAnsi="Times New Roman" w:eastAsia="仿宋_GB2312"/>
          <w:kern w:val="4"/>
          <w:sz w:val="30"/>
          <w:szCs w:val="30"/>
        </w:rPr>
        <w:t>期间，制定出台关于汽车租赁业发展的相关政策指导文件，促进汽车租赁业健康有序发展。</w:t>
      </w:r>
    </w:p>
    <w:p>
      <w:pPr>
        <w:spacing w:line="560" w:lineRule="exact"/>
        <w:ind w:firstLine="600"/>
        <w:rPr>
          <w:rFonts w:ascii="Times New Roman" w:hAnsi="Times New Roman" w:eastAsia="华文仿宋"/>
          <w:kern w:val="4"/>
          <w:sz w:val="30"/>
          <w:szCs w:val="30"/>
        </w:rPr>
      </w:pPr>
      <w:r>
        <w:rPr>
          <w:rFonts w:ascii="Times New Roman" w:hAnsi="Times New Roman" w:eastAsia="仿宋_GB2312"/>
          <w:kern w:val="4"/>
          <w:sz w:val="30"/>
          <w:szCs w:val="30"/>
        </w:rPr>
        <w:t>一是进一步完善个人信用体系，积极推行银行卡、信用卡租车，加强汽车租赁风险控制和防范；二是创新租赁车辆交通事故处理制度与方法，实行租赁车辆交通违章押金制度；三是加快制定、出台汽车租赁行业相关管理办法，适当提高汽车租赁业的准入门槛，包括租赁车辆安全技术标准、服务标准、质量信誉考核标准等；四是研究出台推动汽车租赁业发展的相关政策，引导做强做优汽车租赁企业，促进汽车租赁企业规模化集约化发展。</w:t>
      </w:r>
    </w:p>
    <w:p>
      <w:pPr>
        <w:spacing w:line="960" w:lineRule="exact"/>
        <w:ind w:firstLine="0" w:firstLineChars="0"/>
        <w:outlineLvl w:val="1"/>
        <w:rPr>
          <w:rFonts w:ascii="Times New Roman" w:hAnsi="Times New Roman" w:eastAsia="黑体"/>
          <w:kern w:val="4"/>
          <w:szCs w:val="28"/>
        </w:rPr>
      </w:pPr>
      <w:bookmarkStart w:id="54" w:name="_Toc438123207"/>
      <w:bookmarkStart w:id="55" w:name="_Toc429487898"/>
      <w:r>
        <w:rPr>
          <w:rFonts w:ascii="Times New Roman" w:hAnsi="Times New Roman" w:eastAsia="黑体"/>
          <w:kern w:val="4"/>
          <w:sz w:val="32"/>
          <w:szCs w:val="28"/>
        </w:rPr>
        <w:t>4.3形成科学规范、保障有力的交通行业管理体系</w:t>
      </w:r>
      <w:bookmarkEnd w:id="54"/>
      <w:bookmarkEnd w:id="55"/>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“十三五”期间，以科技信息为手段、安全畅通为目标、以节能环保为动力、法制健全为保障、以改革为动力，大力推进“智慧交通”、“平安交通”、“绿色交通”、“法治交通”的建设。</w:t>
      </w:r>
    </w:p>
    <w:p>
      <w:pPr>
        <w:spacing w:line="720" w:lineRule="exact"/>
        <w:ind w:firstLine="0" w:firstLineChars="0"/>
        <w:outlineLvl w:val="2"/>
        <w:rPr>
          <w:rFonts w:ascii="Times New Roman" w:hAnsi="Times New Roman" w:eastAsia="黑体"/>
          <w:kern w:val="4"/>
          <w:sz w:val="30"/>
          <w:szCs w:val="30"/>
        </w:rPr>
      </w:pPr>
      <w:bookmarkStart w:id="56" w:name="_Toc430076916"/>
      <w:bookmarkStart w:id="57" w:name="_Toc438123208"/>
      <w:r>
        <w:rPr>
          <w:rFonts w:ascii="Times New Roman" w:hAnsi="Times New Roman" w:eastAsia="黑体"/>
          <w:kern w:val="4"/>
          <w:sz w:val="30"/>
          <w:szCs w:val="30"/>
        </w:rPr>
        <w:t>4.3.1加强</w:t>
      </w:r>
      <w:bookmarkEnd w:id="56"/>
      <w:bookmarkEnd w:id="57"/>
      <w:r>
        <w:rPr>
          <w:rFonts w:ascii="Times New Roman" w:hAnsi="Times New Roman" w:eastAsia="黑体"/>
          <w:kern w:val="4"/>
          <w:sz w:val="30"/>
          <w:szCs w:val="30"/>
        </w:rPr>
        <w:t>智慧交通建设</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为了充分发挥信息化技术在引领交通运输转型升级，推动交通运输现代化发展中的重要作用。在公众出行服务、交通物流、行业管理三个方面，重点建设交通运输信息化调度和指挥中心。主要包括交通运输综合数据中心、“运行监测与预警、公共服务、决策支持”一级应用平台，城市客运、公路运输、水路运输、工程管理、铁路、交通教育六个二级专题业务系统。从而实现交通管理系统的信息共享和资源整合，提高服务效率。</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（1）推进“互联网+出行服务”建设</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按照智能化、综合化、人性化的要求，推进信息技术在公共交通运营管理、服务监管和行业管理等方面的应用。“十三五”期间，进一步完善城市公共交通移动支付体系建设，全面推广普及城市公共交通“一卡通”，加快其在城市不同交通方式中的应用。加快完善标准体系，逐步实现跨市域公共交通“一卡通”的互联互通。加强便捷购票服务，加快推进网上售票功能提升和邮政窗口异地购票功能。同时，积极引导售票窗口和代理点为多方式换乘出行提供套票服务，争取到2020年为公众提供多方式换乘“一票到家”的出行服务。</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（2）推进“互联网+交通物流”建设</w:t>
      </w:r>
    </w:p>
    <w:p>
      <w:pPr>
        <w:spacing w:afterLines="50"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建设交通运输物流信息平台。推进农村物流信息平台和提升多式联运信息化水平，逐步改变溧水区物流行业“散、小、乱、脏、差”现状。物流信息化平台的建设有利于物流企业应对信息化滞后，避免价格恶性竞争、降低运输成本和劳动力成本。同时也对交通运输物流行业转方式调结构，转型升级，深化交通运输与现代物流融合发展具有重大意义。</w:t>
      </w:r>
    </w:p>
    <w:p>
      <w:pPr>
        <w:pBdr>
          <w:top w:val="single" w:color="auto" w:sz="4" w:space="1"/>
          <w:left w:val="single" w:color="auto" w:sz="4" w:space="4"/>
          <w:bottom w:val="single" w:color="auto" w:sz="4" w:space="1"/>
          <w:right w:val="single" w:color="auto" w:sz="4" w:space="4"/>
        </w:pBdr>
        <w:shd w:val="pct10" w:color="auto" w:fill="auto"/>
        <w:spacing w:line="360" w:lineRule="auto"/>
        <w:ind w:firstLine="480"/>
        <w:jc w:val="center"/>
        <w:rPr>
          <w:rFonts w:ascii="Times New Roman" w:hAnsi="Times New Roman" w:eastAsia="楷体"/>
          <w:kern w:val="4"/>
          <w:sz w:val="24"/>
        </w:rPr>
      </w:pPr>
      <w:r>
        <w:rPr>
          <w:rFonts w:ascii="Times New Roman" w:hAnsi="Times New Roman" w:eastAsia="楷体"/>
          <w:kern w:val="4"/>
          <w:sz w:val="24"/>
        </w:rPr>
        <w:t>【</w:t>
      </w:r>
      <w:r>
        <w:rPr>
          <w:rFonts w:ascii="Times New Roman" w:hAnsi="Times New Roman" w:eastAsia="楷体"/>
          <w:b/>
          <w:kern w:val="4"/>
          <w:sz w:val="24"/>
        </w:rPr>
        <w:t>专栏：惠山区禾健物流集聚区“移动互联+物流”经验</w:t>
      </w:r>
      <w:r>
        <w:rPr>
          <w:rFonts w:ascii="Times New Roman" w:hAnsi="Times New Roman" w:eastAsia="楷体"/>
          <w:kern w:val="4"/>
          <w:sz w:val="24"/>
        </w:rPr>
        <w:t>】</w:t>
      </w:r>
    </w:p>
    <w:p>
      <w:pPr>
        <w:pBdr>
          <w:top w:val="single" w:color="auto" w:sz="4" w:space="1"/>
          <w:left w:val="single" w:color="auto" w:sz="4" w:space="4"/>
          <w:bottom w:val="single" w:color="auto" w:sz="4" w:space="1"/>
          <w:right w:val="single" w:color="auto" w:sz="4" w:space="4"/>
        </w:pBdr>
        <w:shd w:val="pct10" w:color="auto" w:fill="auto"/>
        <w:spacing w:line="360" w:lineRule="auto"/>
        <w:ind w:firstLine="420"/>
        <w:rPr>
          <w:rFonts w:ascii="Times New Roman" w:hAnsi="Times New Roman" w:eastAsia="楷体"/>
          <w:kern w:val="4"/>
          <w:sz w:val="21"/>
          <w:szCs w:val="21"/>
        </w:rPr>
      </w:pPr>
      <w:r>
        <w:rPr>
          <w:rFonts w:ascii="Times New Roman" w:hAnsi="Times New Roman" w:eastAsia="楷体"/>
          <w:kern w:val="4"/>
          <w:sz w:val="21"/>
          <w:szCs w:val="21"/>
        </w:rPr>
        <w:t>无锡市惠山区禾健物流集聚区以市场为导向、信息技术为支撑，已形成“移动互联+物流”的模式。对构建高效、集约的现代物流服务体系，优化惠山区产业结构具有重要意义。“移动互联+物流”主要特点如下：</w:t>
      </w:r>
    </w:p>
    <w:p>
      <w:pPr>
        <w:pBdr>
          <w:top w:val="single" w:color="auto" w:sz="4" w:space="1"/>
          <w:left w:val="single" w:color="auto" w:sz="4" w:space="4"/>
          <w:bottom w:val="single" w:color="auto" w:sz="4" w:space="1"/>
          <w:right w:val="single" w:color="auto" w:sz="4" w:space="4"/>
        </w:pBdr>
        <w:shd w:val="pct10" w:color="auto" w:fill="auto"/>
        <w:spacing w:line="360" w:lineRule="auto"/>
        <w:ind w:firstLine="420"/>
        <w:rPr>
          <w:rFonts w:ascii="Times New Roman" w:hAnsi="Times New Roman" w:eastAsia="楷体"/>
          <w:kern w:val="4"/>
          <w:sz w:val="21"/>
          <w:szCs w:val="21"/>
        </w:rPr>
      </w:pPr>
      <w:r>
        <w:rPr>
          <w:rFonts w:ascii="Times New Roman" w:hAnsi="Times New Roman" w:eastAsia="楷体"/>
          <w:b/>
          <w:kern w:val="4"/>
          <w:sz w:val="21"/>
          <w:szCs w:val="21"/>
        </w:rPr>
        <w:t>建设信息交易平台</w:t>
      </w:r>
      <w:r>
        <w:rPr>
          <w:rFonts w:ascii="Times New Roman" w:hAnsi="Times New Roman" w:eastAsia="楷体"/>
          <w:kern w:val="4"/>
          <w:sz w:val="21"/>
          <w:szCs w:val="21"/>
        </w:rPr>
        <w:t>：通过信息技术整合社会物流资源，利用互联网及其他辅助方式（例如禾健的LED显示屏、触摸式查询系统、手机终端“云通图”；传化的“易配货”）实现线上快捷查询、交易；功能分区经营：在场站内配套建有管理中心、信息交易中心、商业中心、配套服务中心、仓储配载中心、零担货运中心及车辆管理中心；</w:t>
      </w:r>
    </w:p>
    <w:p>
      <w:pPr>
        <w:pBdr>
          <w:top w:val="single" w:color="auto" w:sz="4" w:space="1"/>
          <w:left w:val="single" w:color="auto" w:sz="4" w:space="4"/>
          <w:bottom w:val="single" w:color="auto" w:sz="4" w:space="1"/>
          <w:right w:val="single" w:color="auto" w:sz="4" w:space="4"/>
        </w:pBdr>
        <w:shd w:val="pct10" w:color="auto" w:fill="auto"/>
        <w:spacing w:line="360" w:lineRule="auto"/>
        <w:ind w:firstLine="420"/>
        <w:rPr>
          <w:rFonts w:ascii="Times New Roman" w:hAnsi="Times New Roman" w:eastAsia="楷体"/>
          <w:kern w:val="4"/>
          <w:sz w:val="21"/>
          <w:szCs w:val="21"/>
        </w:rPr>
      </w:pPr>
      <w:r>
        <w:rPr>
          <w:rFonts w:ascii="Times New Roman" w:hAnsi="Times New Roman" w:eastAsia="楷体"/>
          <w:b/>
          <w:kern w:val="4"/>
          <w:sz w:val="21"/>
          <w:szCs w:val="21"/>
        </w:rPr>
        <w:t>构建一站式服务体系</w:t>
      </w:r>
      <w:r>
        <w:rPr>
          <w:rFonts w:ascii="Times New Roman" w:hAnsi="Times New Roman" w:eastAsia="楷体"/>
          <w:kern w:val="4"/>
          <w:sz w:val="21"/>
          <w:szCs w:val="21"/>
        </w:rPr>
        <w:t>：为便利场站内运输企业和驾驶员，设置了包括工商、税务、运管、公安、银行、保险、通讯、邮政、法务在内的一站式服务体系；</w:t>
      </w:r>
    </w:p>
    <w:p>
      <w:pPr>
        <w:pBdr>
          <w:top w:val="single" w:color="auto" w:sz="4" w:space="1"/>
          <w:left w:val="single" w:color="auto" w:sz="4" w:space="4"/>
          <w:bottom w:val="single" w:color="auto" w:sz="4" w:space="1"/>
          <w:right w:val="single" w:color="auto" w:sz="4" w:space="4"/>
        </w:pBdr>
        <w:shd w:val="pct10" w:color="auto" w:fill="auto"/>
        <w:spacing w:line="360" w:lineRule="auto"/>
        <w:ind w:firstLine="420"/>
        <w:rPr>
          <w:rFonts w:ascii="Times New Roman" w:hAnsi="Times New Roman" w:eastAsia="楷体"/>
          <w:kern w:val="4"/>
          <w:sz w:val="21"/>
          <w:szCs w:val="21"/>
        </w:rPr>
      </w:pPr>
      <w:r>
        <w:rPr>
          <w:rFonts w:ascii="Times New Roman" w:hAnsi="Times New Roman" w:eastAsia="楷体"/>
          <w:b/>
          <w:kern w:val="4"/>
          <w:sz w:val="21"/>
          <w:szCs w:val="21"/>
        </w:rPr>
        <w:t>建立诚信会员体系</w:t>
      </w:r>
      <w:r>
        <w:rPr>
          <w:rFonts w:ascii="Times New Roman" w:hAnsi="Times New Roman" w:eastAsia="楷体"/>
          <w:kern w:val="4"/>
          <w:sz w:val="21"/>
          <w:szCs w:val="21"/>
        </w:rPr>
        <w:t>：创建诚信会员体系，与公安系统联网，所有人员必须凭本人真实有效的信息办理会员诚信卡方能进入信息交易中心，方便驾驶员和配载业主查询核实双方的诚信记录；</w:t>
      </w:r>
    </w:p>
    <w:p>
      <w:pPr>
        <w:pBdr>
          <w:top w:val="single" w:color="auto" w:sz="4" w:space="1"/>
          <w:left w:val="single" w:color="auto" w:sz="4" w:space="4"/>
          <w:bottom w:val="single" w:color="auto" w:sz="4" w:space="1"/>
          <w:right w:val="single" w:color="auto" w:sz="4" w:space="4"/>
        </w:pBdr>
        <w:shd w:val="pct10" w:color="auto" w:fill="auto"/>
        <w:spacing w:line="360" w:lineRule="auto"/>
        <w:ind w:firstLine="420"/>
        <w:rPr>
          <w:rFonts w:ascii="Times New Roman" w:hAnsi="Times New Roman" w:eastAsia="楷体"/>
          <w:kern w:val="4"/>
          <w:sz w:val="21"/>
          <w:szCs w:val="21"/>
        </w:rPr>
      </w:pPr>
      <w:r>
        <w:rPr>
          <w:rFonts w:ascii="Times New Roman" w:hAnsi="Times New Roman" w:eastAsia="楷体"/>
          <w:b/>
          <w:kern w:val="4"/>
          <w:sz w:val="21"/>
          <w:szCs w:val="21"/>
        </w:rPr>
        <w:t>推进网上支付业务</w:t>
      </w:r>
      <w:r>
        <w:rPr>
          <w:rFonts w:ascii="Times New Roman" w:hAnsi="Times New Roman" w:eastAsia="楷体"/>
          <w:kern w:val="4"/>
          <w:sz w:val="21"/>
          <w:szCs w:val="21"/>
        </w:rPr>
        <w:t>：均有计划实现网上支付功能，推进“金融+移动互联+物流” 发展模式。</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（3）推进“互联网+行业管理”建设</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构建智能交通感知网络，继续推进高速公路ETC系统建设，推进水上ETC系统建设，争取到2020年基本实现100%全覆盖；加强覆盖基础设施、载运工具和交通运行环境的监测感知体系建设，重点建设统一的智慧化公路综合管理和服务平台；强化运输生产动态监控与应急联动，按照省市统一部署，运用互联网技术建立“一车三方”动态安全监管平台。充分整合公路路网调度系统、水上交通搜救应急指挥系统和96196交通服务热线，结合溧水区交通实际情况和公路、水路交通突发事件的特点，建立统一交通应急救援指挥平台；提升行政执法信息化水平，加快升级完善现场执法业务管理系统和装备，加强对执法全过程监督；升级权力阳光运行信息化监管体系，加快构建对内交通电子政务系统和对外交通电子政务系统组成的交通电子政务总体框架。</w:t>
      </w:r>
    </w:p>
    <w:p>
      <w:pPr>
        <w:spacing w:line="720" w:lineRule="exact"/>
        <w:ind w:firstLine="0" w:firstLineChars="0"/>
        <w:outlineLvl w:val="2"/>
        <w:rPr>
          <w:rFonts w:ascii="Times New Roman" w:hAnsi="Times New Roman" w:eastAsia="黑体"/>
          <w:kern w:val="4"/>
          <w:sz w:val="30"/>
          <w:szCs w:val="30"/>
        </w:rPr>
      </w:pPr>
      <w:bookmarkStart w:id="58" w:name="_Toc430076919"/>
      <w:bookmarkStart w:id="59" w:name="_Toc438123209"/>
      <w:r>
        <w:rPr>
          <w:rFonts w:ascii="Times New Roman" w:hAnsi="Times New Roman" w:eastAsia="黑体"/>
          <w:kern w:val="4"/>
          <w:sz w:val="30"/>
          <w:szCs w:val="30"/>
        </w:rPr>
        <w:t>4.3.2加强绿色交通建设</w:t>
      </w:r>
      <w:bookmarkEnd w:id="58"/>
      <w:bookmarkEnd w:id="59"/>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十三五”期间，将生态文明建设融入交通运输发展的各方面和全过程，以改革创新为动力，以贯彻落实部省《共同推进江苏省绿色循环低碳交通运输发展框架协议》、《共同推进江苏交通运输现代化建设会谈备忘录》为契机，以部省共建绿色循环低碳交通示范省为载体，转变发展方式、调整交通结构、推动绿色转型。</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（1）大力推进交通节能减排</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继续推进溧水绿色循环低碳交通运输建设。大力发展公共交通和内河航运等低能耗交通方式，到2020年底，清洁能源及新能源公交车占比不低于70%。引导发展专业化运输、甩挂运输等运输效率高、减排效果好的运输方式；引导运输企业向依托内河港口、公路枢纽的物流园区集聚；加强营运车辆燃料消耗量准入和退出管理，减少车辆污染排放。大力推进内河船舶运力结构调整，加快淘汰老旧落后船型，鼓励集装箱船、内河散货船等专业化船舶进入市场；大力推广天然气、纯电动等清洁能源车辆与LNG船舶的应用，推进公交车“油改气”项目；支持道路货运企业开展甩挂运输试点。</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（2）促进资源节约集约利用</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节约集约使用资源，加强综合运输通道线位资源和运输枢纽资源统筹利用，大力推广节地技术，优化交通工程建设方案。循环利用资源，推广使用交通废弃物循环利用的新技术、新材料、新工艺、新设备，倡导标化设计及工厂化预制，加强港口、公路弃渣、港口疏浚土等资源的再生和综合利用。</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（3）提升绿色发展管理能力</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加强节能环保监测考核能力建设，配合开展交通行业环境监测规划编制工作，配合环保部门推进交通运输环境监测网建设工作；构建交通运输环境数据中心，全面实施交通行业能耗统计监测制度，监测单位周转量能源消耗下降值和单位周转量碳排放下降值；与环保部门建立数据互享互认制度，建立行业环境信息发布制度；开展交通运输绿色发展市场机制试点；启动交通运输低碳发展市场化工作，研究推进交通运输碳交易制度，搭建交通运输碳交易平台。引进环境污染第三方治理，并逐步在行业推广。</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（4）</w:t>
      </w:r>
      <w:r>
        <w:rPr>
          <w:rFonts w:hint="eastAsia" w:ascii="Times New Roman" w:hAnsi="Times New Roman" w:eastAsia="仿宋_GB2312"/>
          <w:b/>
          <w:kern w:val="4"/>
          <w:sz w:val="30"/>
          <w:szCs w:val="30"/>
        </w:rPr>
        <w:t>加强路域环境整治</w:t>
      </w:r>
    </w:p>
    <w:p>
      <w:pPr>
        <w:pStyle w:val="216"/>
        <w:widowControl w:val="0"/>
        <w:spacing w:beforeLines="0" w:after="120" w:line="560" w:lineRule="exact"/>
        <w:ind w:firstLine="600"/>
        <w:rPr>
          <w:rFonts w:ascii="Times New Roman" w:hAnsi="Times New Roman" w:eastAsia="仿宋_GB2312" w:cs="Times New Roman"/>
          <w:kern w:val="4"/>
          <w:sz w:val="30"/>
          <w:szCs w:val="30"/>
        </w:rPr>
      </w:pPr>
      <w:r>
        <w:rPr>
          <w:rFonts w:hint="eastAsia" w:ascii="Times New Roman" w:hAnsi="Times New Roman" w:eastAsia="仿宋_GB2312" w:cs="Times New Roman"/>
          <w:kern w:val="4"/>
          <w:sz w:val="30"/>
          <w:szCs w:val="30"/>
        </w:rPr>
        <w:t>按照“政府主导、部门联动、各司其职、协调推进”的工作方针，以集中清理违法建筑、非公路标志、地面构筑物和优化、美化公路路域环境为着力点，力争通过集中综合整治,全面优化公路沿线两侧及周边的环境,基本实现公路路域环境整洁、美观、舒适的景观和视觉效果，全面提升公路交通综合服务水平，为溧水区经济和社会发展创造更加优良的公路交通环境。</w:t>
      </w:r>
    </w:p>
    <w:p>
      <w:pPr>
        <w:spacing w:line="720" w:lineRule="exact"/>
        <w:ind w:firstLine="0" w:firstLineChars="0"/>
        <w:outlineLvl w:val="2"/>
        <w:rPr>
          <w:rFonts w:ascii="Times New Roman" w:hAnsi="Times New Roman" w:eastAsia="黑体"/>
          <w:kern w:val="4"/>
          <w:sz w:val="30"/>
          <w:szCs w:val="30"/>
        </w:rPr>
      </w:pPr>
      <w:bookmarkStart w:id="60" w:name="_Toc438123210"/>
      <w:bookmarkStart w:id="61" w:name="_Toc430076917"/>
      <w:r>
        <w:rPr>
          <w:rFonts w:ascii="Times New Roman" w:hAnsi="Times New Roman" w:eastAsia="黑体"/>
          <w:kern w:val="4"/>
          <w:sz w:val="30"/>
          <w:szCs w:val="30"/>
        </w:rPr>
        <w:t>4.3.3加强平安交通建设</w:t>
      </w:r>
      <w:bookmarkEnd w:id="60"/>
    </w:p>
    <w:p>
      <w:pPr>
        <w:spacing w:line="560" w:lineRule="exact"/>
        <w:ind w:firstLine="588" w:firstLineChars="196"/>
        <w:rPr>
          <w:rFonts w:ascii="Times New Roman" w:hAnsi="Times New Roman" w:eastAsia="仿宋_GB2312"/>
          <w:kern w:val="4"/>
          <w:sz w:val="30"/>
          <w:szCs w:val="30"/>
        </w:rPr>
      </w:pPr>
      <w:r>
        <w:rPr>
          <w:rFonts w:ascii="Times New Roman" w:hAnsi="Times New Roman" w:eastAsia="仿宋_GB2312"/>
          <w:kern w:val="4"/>
          <w:sz w:val="30"/>
          <w:szCs w:val="30"/>
        </w:rPr>
        <w:t>牢固树立以人为本、安全发展理念，严格贯彻落实新《安全生产法》，以“平安创建”创建为载体，以事故预防为重点，以安全生产专项治理为抓手，坚持法治思维，强化红线意识，落实责任，强化宣传，健全机制，规范管理，不断优化发展环境，为溧水经济又好又快发展，提供优良的交通运输安全环境。</w:t>
      </w:r>
    </w:p>
    <w:p>
      <w:pPr>
        <w:spacing w:line="560" w:lineRule="exact"/>
        <w:ind w:firstLine="602"/>
        <w:rPr>
          <w:rFonts w:ascii="Times New Roman" w:hAnsi="Times New Roman" w:eastAsia="仿宋_GB2312"/>
          <w:b/>
          <w:kern w:val="4"/>
          <w:sz w:val="30"/>
          <w:szCs w:val="30"/>
        </w:rPr>
      </w:pPr>
      <w:r>
        <w:rPr>
          <w:rFonts w:hint="eastAsia" w:ascii="Times New Roman" w:hAnsi="Times New Roman" w:eastAsia="仿宋_GB2312"/>
          <w:b/>
          <w:kern w:val="4"/>
          <w:sz w:val="30"/>
          <w:szCs w:val="30"/>
        </w:rPr>
        <w:t>（1）</w:t>
      </w:r>
      <w:r>
        <w:rPr>
          <w:rFonts w:ascii="Times New Roman" w:hAnsi="Times New Roman" w:eastAsia="仿宋_GB2312"/>
          <w:b/>
          <w:kern w:val="4"/>
          <w:sz w:val="30"/>
          <w:szCs w:val="30"/>
        </w:rPr>
        <w:t>完善安全生产责任体系</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健全责任网络。按照“党政同责、一岗双责”、“管行业必须管安全、管业务必须管安全”等原则，明确单位、部门、岗位的安全责任，形成纵向到底、横向到边、全面覆盖、无缝链接的安全责任网络。狠抓责任落实。督导检查层级责任，督促主要领导亲自抓落实，真正落实好安全生产第一人的责任。完善责任考核制度。建立健全安全工作监督检查制度和绩效考核评价体系，加大考核力度，严格实行安全生产“一票否决制”。加强事故查处和责任追究。对工作不落实、监管不到位、失职渎职的一律严格问责。</w:t>
      </w:r>
    </w:p>
    <w:p>
      <w:pPr>
        <w:spacing w:line="560" w:lineRule="exact"/>
        <w:ind w:firstLine="602"/>
        <w:rPr>
          <w:rFonts w:ascii="Times New Roman" w:hAnsi="Times New Roman" w:eastAsia="仿宋_GB2312"/>
          <w:b/>
          <w:kern w:val="4"/>
          <w:sz w:val="30"/>
          <w:szCs w:val="30"/>
        </w:rPr>
      </w:pPr>
      <w:r>
        <w:rPr>
          <w:rFonts w:hint="eastAsia" w:ascii="Times New Roman" w:hAnsi="Times New Roman" w:eastAsia="仿宋_GB2312"/>
          <w:b/>
          <w:kern w:val="4"/>
          <w:sz w:val="30"/>
          <w:szCs w:val="30"/>
        </w:rPr>
        <w:t>（2）</w:t>
      </w:r>
      <w:r>
        <w:rPr>
          <w:rFonts w:ascii="Times New Roman" w:hAnsi="Times New Roman" w:eastAsia="仿宋_GB2312"/>
          <w:b/>
          <w:kern w:val="4"/>
          <w:sz w:val="30"/>
          <w:szCs w:val="30"/>
        </w:rPr>
        <w:t>提高行业安全监管水平</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完善行业安全监管体系。按照分级管理原则，进一步理顺各层级安全监管的关系，确保各级在安全监管中有效行使管理权力。完善安全检查工作机制。建立健全安全生产“四不两直”暗查暗访工作制度，采取突击检查、随机抽查、回头看复查等方式进行检查，及时反馈检查情况，提出处理意见，加强跟踪督办，确保隐患问题及时整改到位。完善安全管理制度。结合新《安全生产法》的贯彻实施，对原有各项安全管理和工作制度进行修订完善，切实提高制度的针对性和可操作性。</w:t>
      </w:r>
    </w:p>
    <w:p>
      <w:pPr>
        <w:pStyle w:val="23"/>
        <w:spacing w:after="0" w:line="560" w:lineRule="exact"/>
        <w:ind w:left="0" w:leftChars="0" w:firstLine="602"/>
        <w:rPr>
          <w:rFonts w:ascii="Times New Roman" w:hAnsi="Times New Roman" w:eastAsia="仿宋_GB2312"/>
          <w:b/>
          <w:kern w:val="4"/>
          <w:sz w:val="30"/>
          <w:szCs w:val="30"/>
        </w:rPr>
      </w:pPr>
      <w:r>
        <w:rPr>
          <w:rFonts w:hint="eastAsia" w:ascii="Times New Roman" w:hAnsi="Times New Roman" w:eastAsia="仿宋_GB2312"/>
          <w:b/>
          <w:kern w:val="4"/>
          <w:sz w:val="30"/>
          <w:szCs w:val="30"/>
        </w:rPr>
        <w:t>（3）</w:t>
      </w:r>
      <w:r>
        <w:rPr>
          <w:rFonts w:ascii="Times New Roman" w:hAnsi="Times New Roman" w:eastAsia="仿宋_GB2312"/>
          <w:b/>
          <w:kern w:val="4"/>
          <w:sz w:val="30"/>
          <w:szCs w:val="30"/>
        </w:rPr>
        <w:t>强化重点领域安全监管</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公路保障方面，持续改善道路通行条件，加强事故多发路段和危险路段综合治理，进一步深化公路桥梁安全管理、超限运输治理、公路安保等工作。道路运输方面，强化“三关一监督”的监管职责，认真贯彻《道路运输车辆动态监督管理办法》，督促道路客运和危运企业按照标准建设和使用道路运输车辆动态监控平台；加强对出租车、公交车、客运站等重点区域的安全监管。水上交通方面，开展通航安全治理，规范重点水域等水上交通安全生产；加强涉水施工监管，确保涉水工程施工安全；加强船员培训，努力提高从业人员素质。完善通航、助航标志，加强航道巡查、航标管理和维护。工程建设方面，加强建设、监理、施工各个环节的安全监管；督促施工单位加强危险性较大工程专项施工方案编制及论证审查工作、安全生产事故应急预案编制及演练工作的管理。</w:t>
      </w:r>
    </w:p>
    <w:p>
      <w:pPr>
        <w:pStyle w:val="23"/>
        <w:spacing w:after="0" w:line="560" w:lineRule="exact"/>
        <w:ind w:left="0" w:leftChars="0" w:firstLine="602"/>
        <w:rPr>
          <w:rFonts w:ascii="Times New Roman" w:hAnsi="Times New Roman" w:eastAsia="仿宋_GB2312"/>
          <w:b/>
          <w:kern w:val="4"/>
          <w:sz w:val="30"/>
          <w:szCs w:val="30"/>
        </w:rPr>
      </w:pPr>
      <w:r>
        <w:rPr>
          <w:rFonts w:hint="eastAsia" w:ascii="Times New Roman" w:hAnsi="Times New Roman" w:eastAsia="仿宋_GB2312"/>
          <w:b/>
          <w:kern w:val="4"/>
          <w:sz w:val="30"/>
          <w:szCs w:val="30"/>
        </w:rPr>
        <w:t>（4）</w:t>
      </w:r>
      <w:r>
        <w:rPr>
          <w:rFonts w:ascii="Times New Roman" w:hAnsi="Times New Roman" w:eastAsia="仿宋_GB2312"/>
          <w:b/>
          <w:kern w:val="4"/>
          <w:sz w:val="30"/>
          <w:szCs w:val="30"/>
        </w:rPr>
        <w:t>加强</w:t>
      </w:r>
      <w:r>
        <w:rPr>
          <w:rFonts w:hint="eastAsia" w:ascii="Times New Roman" w:hAnsi="Times New Roman" w:eastAsia="仿宋_GB2312"/>
          <w:b/>
          <w:kern w:val="4"/>
          <w:sz w:val="30"/>
          <w:szCs w:val="30"/>
        </w:rPr>
        <w:t>交通</w:t>
      </w:r>
      <w:r>
        <w:rPr>
          <w:rFonts w:ascii="Times New Roman" w:hAnsi="Times New Roman" w:eastAsia="仿宋_GB2312"/>
          <w:b/>
          <w:kern w:val="4"/>
          <w:sz w:val="30"/>
          <w:szCs w:val="30"/>
        </w:rPr>
        <w:t>应急体系建设</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加强安全生产事故应急预案管理。把安全生产事故应急预案的编制、备案、审查、演练等作为安全生产监督工作的重要内容，做到相关预案互相衔接，进一步增强应急预案的科学性、针对性、实效性和可操作性。完善应急保障机制。做好突发事件预测预警、信息报告、应急响应、应急处置、恢复重建及调查评估，强化事前、事发、事中、事后等运行协调。切实提高应急救援能力。整合现有应急装备和队伍资源，督促开展应急预案演练，通过演练，检验预案、锻炼队伍、教育公众，提高全区交运系统安全生产突发事件应急处置能力和水平。</w:t>
      </w:r>
    </w:p>
    <w:p>
      <w:pPr>
        <w:pStyle w:val="23"/>
        <w:spacing w:after="0" w:line="560" w:lineRule="exact"/>
        <w:ind w:left="0" w:leftChars="0" w:firstLine="602"/>
        <w:rPr>
          <w:rFonts w:ascii="Times New Roman" w:hAnsi="Times New Roman" w:eastAsia="仿宋_GB2312"/>
          <w:b/>
          <w:kern w:val="4"/>
          <w:sz w:val="30"/>
          <w:szCs w:val="30"/>
        </w:rPr>
      </w:pPr>
      <w:r>
        <w:rPr>
          <w:rFonts w:hint="eastAsia" w:ascii="Times New Roman" w:hAnsi="Times New Roman" w:eastAsia="仿宋_GB2312"/>
          <w:b/>
          <w:kern w:val="4"/>
          <w:sz w:val="30"/>
          <w:szCs w:val="30"/>
        </w:rPr>
        <w:t>（5）</w:t>
      </w:r>
      <w:r>
        <w:rPr>
          <w:rFonts w:ascii="Times New Roman" w:hAnsi="Times New Roman" w:eastAsia="仿宋_GB2312"/>
          <w:b/>
          <w:kern w:val="4"/>
          <w:sz w:val="30"/>
          <w:szCs w:val="30"/>
        </w:rPr>
        <w:t>深化平安交通创建</w:t>
      </w:r>
      <w:r>
        <w:rPr>
          <w:rFonts w:hint="eastAsia" w:ascii="Times New Roman" w:hAnsi="Times New Roman" w:eastAsia="仿宋_GB2312"/>
          <w:b/>
          <w:kern w:val="4"/>
          <w:sz w:val="30"/>
          <w:szCs w:val="30"/>
        </w:rPr>
        <w:t>工作</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以创建平安公路、平安航道、平安车船、平安工地等为重点，结合实际，深入推进，务求实效。通过创建，进一步健全安全生产体制机制，增强安全生产保障能力，提高安全生产队伍素质，确保安全生产形势持续稳定。</w:t>
      </w:r>
    </w:p>
    <w:p>
      <w:pPr>
        <w:spacing w:line="720" w:lineRule="exact"/>
        <w:ind w:firstLine="0" w:firstLineChars="0"/>
        <w:outlineLvl w:val="2"/>
        <w:rPr>
          <w:rFonts w:ascii="Times New Roman" w:hAnsi="Times New Roman" w:eastAsia="黑体"/>
          <w:kern w:val="4"/>
          <w:sz w:val="30"/>
          <w:szCs w:val="30"/>
        </w:rPr>
      </w:pPr>
      <w:bookmarkStart w:id="62" w:name="_Toc438123211"/>
      <w:r>
        <w:rPr>
          <w:rFonts w:ascii="Times New Roman" w:hAnsi="Times New Roman" w:eastAsia="黑体"/>
          <w:kern w:val="4"/>
          <w:sz w:val="30"/>
          <w:szCs w:val="30"/>
        </w:rPr>
        <w:t>4.3.4加强法治交通建设</w:t>
      </w:r>
      <w:bookmarkEnd w:id="61"/>
      <w:bookmarkEnd w:id="62"/>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以科学发展推动交通运输转型升级为主线，以破解制约交通运输依法行政的体制机制障碍为突破口，加强领导干部依法行政意识和能力、深化交通运输政务公开、严格行政监督和问责，把法治要求贯穿到交通运输规划、建设、管理、运营服务、安全生产的各个领域和环节,实现全覆盖。</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（1）加强法治思维</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提高交通运输部门各级领导干部的法治意识。要坚持和完善交通运输部门领导干部学法制度，发挥党组（委）会、办公会组织领导干部学习法律的平台作用。将领导干部学法守法用法的能力和水平作为选拔任用干部的重要内容。使交通运输部门各级领导干部牢固树立党的领导、依法治国、执法为民、公平正义、服务大局为基本内容的社会主义法治理念。</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（2）加强交通执法</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严厉打击“黑车”和长途班车非法经营和违章经营行为。认真做好道路货运、客运驾驶员的继续教育培训工作，严把“三关一监督”，切实做好危运、客运安全整治及重点运输企业安全生产标准化创建工作。加强道路客运稽查工作，重点加强对出租车源头和道路稽查工作管理，查处不使用计价器、乱收费等违法经营活动，打击取缔非法经营，保护合法经营和乘客利益，维护出租车运输市场秩序，同时落实并做好城乡公交一体化各项工作。</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（3）深化政务公开</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深化交通行政决策公开，加大交通行业重要改革方案、重大政策措施、重点工程项目决策前后意见征集和政策发布，拓展政策解读；深化交通行政权力公开透明运行；深化政府信息公开，加强交通工程建设领域项目信息公开，抓好交通重大突发事件和群众关注热点难点事项信息公开；加强网站管理，充分发挥门户网站作为政府信息公开第一平台的作用，积极推进与公众互动交流，增强网站在线办事服务能力；规范和深化交通公共企事业单位办事公开；加强政务公开运行过程中的电子监察工作，不断提升科技防腐的能力。</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（4）严格监督与问责</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深化行政监督工作。加强绩效管理，开展绩效评估，建立健全绩效管理体系。构建科学合理的交通运输政府部门绩效评估指标体系和评估机制，综合运用听取和审议专项工作报告、执法考评、计划预算审查、规范性文件备案审查、询问和质询等形式，增强监督和管理的针对性和实效性。</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加大行政问责力度。坚决执行《行政监察法》、《公务员法》、《行政机关公务员处分条例》和《关于实行党政领导干部问责的暂行规定》，坚持有错必纠、有责必问。健全问责制度，规范问责程序，推进问责法治化。</w:t>
      </w:r>
    </w:p>
    <w:p>
      <w:pPr>
        <w:spacing w:line="720" w:lineRule="exact"/>
        <w:ind w:firstLine="0" w:firstLineChars="0"/>
        <w:outlineLvl w:val="2"/>
        <w:rPr>
          <w:rFonts w:ascii="Times New Roman" w:hAnsi="Times New Roman" w:eastAsia="黑体"/>
          <w:kern w:val="4"/>
          <w:sz w:val="30"/>
          <w:szCs w:val="30"/>
        </w:rPr>
      </w:pPr>
      <w:bookmarkStart w:id="63" w:name="_Toc438123212"/>
      <w:bookmarkStart w:id="64" w:name="_Toc430076918"/>
      <w:r>
        <w:rPr>
          <w:rFonts w:ascii="Times New Roman" w:hAnsi="Times New Roman" w:eastAsia="黑体"/>
          <w:kern w:val="4"/>
          <w:sz w:val="30"/>
          <w:szCs w:val="30"/>
        </w:rPr>
        <w:t>4.3.5深化交通运输改革</w:t>
      </w:r>
      <w:bookmarkEnd w:id="63"/>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全面深化交通运输体制机制改革，切实转变交通运输部门职能，着力为经济转型升级、新型城镇化与城乡发展一体化、生态文明建设提供更加有力的支撑和引导，为公众出行和货物流通提供更加安全、便捷、经济、高效的运输服务，为探索综合交通运输改革积累经验。</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（1）深化综合交通运输管理体制改革</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建立与发展改革、国土资源、环境保护、住房城乡建设等部门关于综合交通运输发展的协调机制，探索建立交通运输与国土资源、住房城乡建设等部门之间多规衔接的规划编制机制。推进货运“一单制”、客运“一票制”、信息服务“一站式”，实现综合运输一体化服务。</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（2）推进交通运输行政审批制度改革</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按照简政放权的总体要求，取消下放一批行政审批事项，进一步加强事中事后监管，推进法治政府部门建设。加快完善“五清单一平台”建设，提高依法行政水平。</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（3）推进交通运输行政执法体制改革</w:t>
      </w:r>
    </w:p>
    <w:p>
      <w:pPr>
        <w:spacing w:line="560" w:lineRule="exact"/>
        <w:ind w:firstLine="600"/>
        <w:rPr>
          <w:rFonts w:ascii="Times New Roman" w:hAnsi="Times New Roman" w:eastAsia="仿宋_GB2312"/>
          <w:kern w:val="4"/>
          <w:sz w:val="30"/>
          <w:szCs w:val="30"/>
        </w:rPr>
      </w:pPr>
      <w:r>
        <w:rPr>
          <w:rFonts w:hint="eastAsia" w:ascii="Times New Roman" w:hAnsi="Times New Roman" w:eastAsia="仿宋_GB2312"/>
          <w:kern w:val="4"/>
          <w:sz w:val="30"/>
          <w:szCs w:val="30"/>
        </w:rPr>
        <w:t>推进交通运输综合执法，加大与城管、公安等部门联合执法，增强</w:t>
      </w:r>
      <w:r>
        <w:rPr>
          <w:rFonts w:ascii="Times New Roman" w:hAnsi="Times New Roman" w:eastAsia="仿宋_GB2312"/>
          <w:kern w:val="4"/>
          <w:sz w:val="30"/>
          <w:szCs w:val="30"/>
        </w:rPr>
        <w:t>关系群众切身利益的重点领域执法力度</w:t>
      </w:r>
      <w:r>
        <w:rPr>
          <w:rFonts w:hint="eastAsia" w:ascii="Times New Roman" w:hAnsi="Times New Roman" w:eastAsia="仿宋_GB2312"/>
          <w:kern w:val="4"/>
          <w:sz w:val="30"/>
          <w:szCs w:val="30"/>
        </w:rPr>
        <w:t>，制定出台配套制度，进一步</w:t>
      </w:r>
      <w:r>
        <w:rPr>
          <w:rFonts w:ascii="Times New Roman" w:hAnsi="Times New Roman" w:eastAsia="仿宋_GB2312"/>
          <w:kern w:val="4"/>
          <w:sz w:val="30"/>
          <w:szCs w:val="30"/>
        </w:rPr>
        <w:t>强化基层站所的管理服务功能</w:t>
      </w:r>
      <w:r>
        <w:rPr>
          <w:rFonts w:hint="eastAsia" w:ascii="Times New Roman" w:hAnsi="Times New Roman" w:eastAsia="仿宋_GB2312"/>
          <w:kern w:val="4"/>
          <w:sz w:val="30"/>
          <w:szCs w:val="30"/>
        </w:rPr>
        <w:t>。</w:t>
      </w:r>
      <w:r>
        <w:rPr>
          <w:rFonts w:ascii="Times New Roman" w:hAnsi="Times New Roman" w:eastAsia="仿宋_GB2312"/>
          <w:kern w:val="4"/>
          <w:sz w:val="30"/>
          <w:szCs w:val="30"/>
        </w:rPr>
        <w:t>同时</w:t>
      </w:r>
      <w:r>
        <w:rPr>
          <w:rFonts w:hint="eastAsia" w:ascii="Times New Roman" w:hAnsi="Times New Roman" w:eastAsia="仿宋_GB2312"/>
          <w:kern w:val="4"/>
          <w:sz w:val="30"/>
          <w:szCs w:val="30"/>
        </w:rPr>
        <w:t>，积极</w:t>
      </w:r>
      <w:r>
        <w:rPr>
          <w:rFonts w:ascii="Times New Roman" w:hAnsi="Times New Roman" w:eastAsia="仿宋_GB2312"/>
          <w:kern w:val="4"/>
          <w:sz w:val="30"/>
          <w:szCs w:val="30"/>
        </w:rPr>
        <w:t>创建</w:t>
      </w:r>
      <w:r>
        <w:rPr>
          <w:rFonts w:hint="eastAsia" w:ascii="Times New Roman" w:hAnsi="Times New Roman" w:eastAsia="仿宋_GB2312"/>
          <w:kern w:val="4"/>
          <w:sz w:val="30"/>
          <w:szCs w:val="30"/>
        </w:rPr>
        <w:t>改革示范</w:t>
      </w:r>
      <w:r>
        <w:rPr>
          <w:rFonts w:ascii="Times New Roman" w:hAnsi="Times New Roman" w:eastAsia="仿宋_GB2312"/>
          <w:kern w:val="4"/>
          <w:sz w:val="30"/>
          <w:szCs w:val="30"/>
        </w:rPr>
        <w:t>点。</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（4）深化公路养护管理体制改革</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根据省关于深化公路养护体制机制改革总体部署和要求，积极争取省市资金支持及区级财政支持，正确调整合理养护经费。建立“建管养”相协调、事权财权相适应的养护管理体制，养护走向市场。</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（5）深化安全生产监管和应急保障体制机制改革</w:t>
      </w:r>
    </w:p>
    <w:p>
      <w:pPr>
        <w:spacing w:line="560" w:lineRule="exact"/>
        <w:ind w:firstLine="600"/>
        <w:rPr>
          <w:rFonts w:ascii="Times New Roman" w:hAnsi="Times New Roman" w:eastAsia="华文仿宋"/>
          <w:kern w:val="4"/>
          <w:sz w:val="30"/>
          <w:szCs w:val="30"/>
        </w:rPr>
      </w:pPr>
      <w:r>
        <w:rPr>
          <w:rFonts w:ascii="Times New Roman" w:hAnsi="Times New Roman" w:eastAsia="仿宋_GB2312"/>
          <w:kern w:val="4"/>
          <w:sz w:val="30"/>
          <w:szCs w:val="30"/>
        </w:rPr>
        <w:t>建立健全平安交通的评价分析体系和管理考核体系，明确量化指标和考核目标。制定完善监管规范、稳步推进标准化建设。加快应急体系建设，厘清行业职能职责、统筹应急能力规划布局，在统一的平台内分类调度指挥，形成横向协同、纵向联动的应急管理体系。</w:t>
      </w:r>
    </w:p>
    <w:bookmarkEnd w:id="64"/>
    <w:p>
      <w:pPr>
        <w:spacing w:line="720" w:lineRule="exact"/>
        <w:ind w:firstLine="0" w:firstLineChars="0"/>
        <w:outlineLvl w:val="2"/>
        <w:rPr>
          <w:rFonts w:ascii="Times New Roman" w:hAnsi="Times New Roman" w:eastAsia="黑体"/>
          <w:kern w:val="4"/>
          <w:sz w:val="30"/>
          <w:szCs w:val="30"/>
        </w:rPr>
      </w:pPr>
      <w:bookmarkStart w:id="65" w:name="_Toc438123213"/>
      <w:bookmarkStart w:id="66" w:name="_Toc430076920"/>
      <w:r>
        <w:rPr>
          <w:rFonts w:ascii="Times New Roman" w:hAnsi="Times New Roman" w:eastAsia="黑体"/>
          <w:kern w:val="4"/>
          <w:sz w:val="30"/>
          <w:szCs w:val="30"/>
        </w:rPr>
        <w:t>4.3.6加强人才队伍建设</w:t>
      </w:r>
      <w:bookmarkEnd w:id="65"/>
      <w:bookmarkEnd w:id="66"/>
    </w:p>
    <w:p>
      <w:pPr>
        <w:spacing w:line="560" w:lineRule="exact"/>
        <w:ind w:firstLine="602"/>
        <w:rPr>
          <w:rFonts w:ascii="Times New Roman" w:hAnsi="Times New Roman" w:eastAsia="仿宋_GB2312"/>
          <w:b/>
          <w:kern w:val="4"/>
          <w:sz w:val="30"/>
          <w:szCs w:val="30"/>
        </w:rPr>
      </w:pP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（1）完善人才培养机制</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推进交通干部人才横向、纵向交流，进行多岗位锻炼，丰富阅历、增长才干。加大交通干部人才教育培训经费投入，对干部人才进行挂职实践锻炼，为干部成长成才营造环境、提供平台，争取选派2名以上年轻干部到上级机关挂职锻炼。</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（2）加快人才队伍建设</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拓展人才引进和培养途径，提高人才引进档次和质量。加大高层次人才引进及培养的力度，提升高学历、高层次人才比重，注重选拔德才兼备、群众公认、实绩明显的干部人才。在继续发展公路人才的基础上，优先培养水运、城市客运、物流等专业人才；在继续发展专业人才的基础上，着力培养复合型人才和综合管理人才；在继续提高人才队伍整体素质的基础上，重点培养高层次创新人才和高技能人才。至2020年，高级专业技术人才占专业技术人才的12%，高技术人才占技能劳动者的比例为28%。</w:t>
      </w:r>
    </w:p>
    <w:p>
      <w:pPr>
        <w:spacing w:line="720" w:lineRule="exact"/>
        <w:ind w:firstLine="0" w:firstLineChars="0"/>
        <w:outlineLvl w:val="2"/>
        <w:rPr>
          <w:rFonts w:ascii="Times New Roman" w:hAnsi="Times New Roman" w:eastAsia="黑体"/>
          <w:kern w:val="4"/>
          <w:sz w:val="30"/>
          <w:szCs w:val="30"/>
        </w:rPr>
      </w:pPr>
      <w:bookmarkStart w:id="67" w:name="_Toc430076921"/>
      <w:bookmarkStart w:id="68" w:name="_Toc438123214"/>
      <w:r>
        <w:rPr>
          <w:rFonts w:ascii="Times New Roman" w:hAnsi="Times New Roman" w:eastAsia="黑体"/>
          <w:kern w:val="4"/>
          <w:sz w:val="30"/>
          <w:szCs w:val="30"/>
        </w:rPr>
        <w:t>4.3.7加强行业党建工作</w:t>
      </w:r>
      <w:bookmarkEnd w:id="67"/>
      <w:bookmarkEnd w:id="68"/>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（1）全面落实党风廉政</w:t>
      </w:r>
      <w:r>
        <w:rPr>
          <w:rFonts w:hint="eastAsia" w:ascii="Times New Roman" w:hAnsi="Times New Roman" w:eastAsia="仿宋_GB2312"/>
          <w:b/>
          <w:kern w:val="4"/>
          <w:sz w:val="30"/>
          <w:szCs w:val="30"/>
        </w:rPr>
        <w:t>建设</w:t>
      </w:r>
      <w:r>
        <w:rPr>
          <w:rFonts w:ascii="Times New Roman" w:hAnsi="Times New Roman" w:eastAsia="仿宋_GB2312"/>
          <w:b/>
          <w:kern w:val="4"/>
          <w:sz w:val="30"/>
          <w:szCs w:val="30"/>
        </w:rPr>
        <w:t>责任制</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深化反腐倡廉教育，努力引领新常态。抓紧建立完善基层党组织党建工作责任体系，深入落实“一岗双责”。完善交通重点工程专项治理长效机制，明确职责分工，建立评分机制。将重大改革、重大政策、重大项目实施过程中的责任落实到部门、到个人，成立督查小组进行全过程监督考核。</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（2）提高廉政风险防控水平</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建立惩防体系建设工作联席会议制度，不断完善重点工程监督机制，对重点建设项目全部实行跟踪审计。加快推进远程评标系统建设，实现交通项目全程电子招投标。</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（3）完善党员思想教育的长效机制</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研究制定“十三五”局机关党员教育培训规划，健全相关管理制度，创新教育培训方法手段，进一步提高思想政治工作的针对性和实效性，全面提升广大党员的思想政治素质。</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（4）完善党内政治生活各项制度</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按照中央和省委一系列严肃党内政治生活的规定要求，结合局实际，研究制定认真执行党内政治生活的规章制度，下大气力解决党内政治生活方面存在的各种问题，提高党内政治生活的政治性、原则性和战斗性。</w:t>
      </w:r>
    </w:p>
    <w:p>
      <w:pPr>
        <w:spacing w:line="560" w:lineRule="exact"/>
        <w:ind w:firstLine="602"/>
        <w:rPr>
          <w:rFonts w:ascii="Times New Roman" w:hAnsi="Times New Roman" w:eastAsia="仿宋_GB2312"/>
          <w:b/>
          <w:kern w:val="4"/>
          <w:sz w:val="30"/>
          <w:szCs w:val="30"/>
        </w:rPr>
      </w:pPr>
      <w:r>
        <w:rPr>
          <w:rFonts w:ascii="Times New Roman" w:hAnsi="Times New Roman" w:eastAsia="仿宋_GB2312"/>
          <w:b/>
          <w:kern w:val="4"/>
          <w:sz w:val="30"/>
          <w:szCs w:val="30"/>
        </w:rPr>
        <w:t>（5）完善作风建设工作体系</w:t>
      </w:r>
    </w:p>
    <w:p>
      <w:pPr>
        <w:spacing w:line="560" w:lineRule="exact"/>
        <w:ind w:firstLine="600"/>
        <w:rPr>
          <w:rFonts w:ascii="Times New Roman" w:hAnsi="Times New Roman" w:eastAsia="华文仿宋"/>
          <w:kern w:val="4"/>
          <w:sz w:val="30"/>
          <w:szCs w:val="30"/>
        </w:rPr>
      </w:pPr>
      <w:r>
        <w:rPr>
          <w:rFonts w:ascii="Times New Roman" w:hAnsi="Times New Roman" w:eastAsia="仿宋_GB2312"/>
          <w:kern w:val="4"/>
          <w:sz w:val="30"/>
          <w:szCs w:val="30"/>
        </w:rPr>
        <w:t>巩固和扩大党的群众路线教育实践活动成果，优化机关作风建设的体制机制和方法手段，形成风清气正、廉洁高效的政务环境</w:t>
      </w:r>
      <w:r>
        <w:rPr>
          <w:rFonts w:ascii="Times New Roman" w:hAnsi="Times New Roman" w:eastAsia="华文仿宋"/>
          <w:kern w:val="4"/>
          <w:sz w:val="30"/>
          <w:szCs w:val="30"/>
        </w:rPr>
        <w:t>。</w:t>
      </w:r>
    </w:p>
    <w:p>
      <w:pPr>
        <w:adjustRightInd w:val="0"/>
        <w:ind w:firstLine="420" w:firstLineChars="0"/>
        <w:jc w:val="left"/>
        <w:rPr>
          <w:rFonts w:ascii="Times New Roman" w:hAnsi="Times New Roman" w:eastAsia="仿宋_GB2312"/>
          <w:kern w:val="4"/>
          <w:sz w:val="30"/>
          <w:szCs w:val="30"/>
        </w:rPr>
        <w:sectPr>
          <w:headerReference r:id="rId18" w:type="default"/>
          <w:pgSz w:w="11906" w:h="16838"/>
          <w:pgMar w:top="1701" w:right="1134" w:bottom="1418" w:left="1418" w:header="1247" w:footer="992" w:gutter="0"/>
          <w:cols w:space="425" w:num="1"/>
          <w:rtlGutter w:val="1"/>
          <w:docGrid w:linePitch="312" w:charSpace="0"/>
        </w:sectPr>
      </w:pPr>
    </w:p>
    <w:p>
      <w:pPr>
        <w:spacing w:line="1200" w:lineRule="exact"/>
        <w:ind w:firstLine="0" w:firstLineChars="0"/>
        <w:jc w:val="center"/>
        <w:outlineLvl w:val="0"/>
        <w:rPr>
          <w:rFonts w:ascii="Times New Roman" w:hAnsi="Times New Roman" w:eastAsia="华文新魏"/>
          <w:kern w:val="4"/>
          <w:sz w:val="44"/>
          <w:szCs w:val="44"/>
        </w:rPr>
      </w:pPr>
      <w:bookmarkStart w:id="69" w:name="_Toc438123215"/>
      <w:bookmarkStart w:id="70" w:name="_Toc429487899"/>
      <w:bookmarkStart w:id="71" w:name="_Toc405403866"/>
      <w:r>
        <w:rPr>
          <w:rFonts w:ascii="Times New Roman" w:hAnsi="Times New Roman" w:eastAsia="华文新魏"/>
          <w:kern w:val="4"/>
          <w:sz w:val="44"/>
          <w:szCs w:val="44"/>
        </w:rPr>
        <w:t>第五章保障措施</w:t>
      </w:r>
      <w:bookmarkEnd w:id="69"/>
      <w:bookmarkEnd w:id="70"/>
    </w:p>
    <w:p>
      <w:pPr>
        <w:spacing w:line="960" w:lineRule="exact"/>
        <w:ind w:firstLine="0" w:firstLineChars="0"/>
        <w:outlineLvl w:val="1"/>
        <w:rPr>
          <w:rFonts w:ascii="Times New Roman" w:hAnsi="Times New Roman" w:eastAsia="黑体"/>
          <w:kern w:val="4"/>
          <w:sz w:val="32"/>
          <w:szCs w:val="28"/>
        </w:rPr>
      </w:pPr>
      <w:bookmarkStart w:id="72" w:name="_Toc429487900"/>
      <w:bookmarkStart w:id="73" w:name="_Toc438123216"/>
      <w:r>
        <w:rPr>
          <w:rFonts w:ascii="Times New Roman" w:hAnsi="Times New Roman" w:eastAsia="黑体"/>
          <w:kern w:val="4"/>
          <w:sz w:val="32"/>
          <w:szCs w:val="28"/>
        </w:rPr>
        <w:t>5.1加强组织领导</w:t>
      </w:r>
      <w:bookmarkEnd w:id="72"/>
      <w:bookmarkEnd w:id="73"/>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规划实施过程中，要加强领导，明确权责，重点抓好重大项目、重大工程、重大政策的落实，建立分工协作机制，制定详细实施计划，并强化与国土、规划、环保等部门的协调，确保规划确定的各项目标和任务有序推进。正确处理好政府与市场的关系，努力建立分类指导的实施机制。加强规划实施的跟踪，及时把握交通运输发展中出现的新情况、新问题，适时调整规划和相关政策，进一步增强规划的指导性。</w:t>
      </w:r>
      <w:r>
        <w:rPr>
          <w:rFonts w:hint="eastAsia" w:ascii="Times New Roman" w:hAnsi="Times New Roman" w:eastAsia="仿宋_GB2312"/>
          <w:kern w:val="4"/>
          <w:sz w:val="30"/>
          <w:szCs w:val="30"/>
        </w:rPr>
        <w:t>加大交通工程建设行业监管力度，确保建设主体发生变化后工程</w:t>
      </w:r>
      <w:r>
        <w:rPr>
          <w:rFonts w:ascii="Times New Roman" w:hAnsi="Times New Roman" w:eastAsia="仿宋_GB2312"/>
          <w:kern w:val="4"/>
          <w:sz w:val="30"/>
          <w:szCs w:val="30"/>
        </w:rPr>
        <w:t>顺利</w:t>
      </w:r>
      <w:r>
        <w:rPr>
          <w:rFonts w:hint="eastAsia" w:ascii="Times New Roman" w:hAnsi="Times New Roman" w:eastAsia="仿宋_GB2312"/>
          <w:kern w:val="4"/>
          <w:sz w:val="30"/>
          <w:szCs w:val="30"/>
        </w:rPr>
        <w:t>进行</w:t>
      </w:r>
      <w:r>
        <w:rPr>
          <w:rFonts w:ascii="Times New Roman" w:hAnsi="Times New Roman" w:eastAsia="仿宋_GB2312"/>
          <w:kern w:val="4"/>
          <w:sz w:val="30"/>
          <w:szCs w:val="30"/>
        </w:rPr>
        <w:t>。加大规划宣传力度，形成全社会关心交通发展、参与规划实施和共同做好监督的良好氛围。</w:t>
      </w:r>
    </w:p>
    <w:p>
      <w:pPr>
        <w:spacing w:line="960" w:lineRule="exact"/>
        <w:ind w:firstLine="0" w:firstLineChars="0"/>
        <w:outlineLvl w:val="1"/>
        <w:rPr>
          <w:rFonts w:ascii="Times New Roman" w:hAnsi="Times New Roman" w:eastAsia="黑体"/>
          <w:kern w:val="4"/>
          <w:sz w:val="32"/>
          <w:szCs w:val="28"/>
        </w:rPr>
      </w:pPr>
      <w:bookmarkStart w:id="74" w:name="_Toc429487901"/>
      <w:bookmarkStart w:id="75" w:name="_Toc438123217"/>
      <w:r>
        <w:rPr>
          <w:rFonts w:ascii="Times New Roman" w:hAnsi="Times New Roman" w:eastAsia="黑体"/>
          <w:kern w:val="4"/>
          <w:sz w:val="32"/>
          <w:szCs w:val="28"/>
        </w:rPr>
        <w:t>5.2落实资金保障</w:t>
      </w:r>
      <w:bookmarkEnd w:id="74"/>
      <w:bookmarkEnd w:id="75"/>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根据“十三五”综合交通发展目标，提出重点建设项目，具体见附表。溧水区“十三五”交通基础设施建设投资为248.00亿元（不包含征地拆迁费用），其中公路81.34亿元、轨道111.21亿元，水运37.00亿元，</w:t>
      </w:r>
      <w:r>
        <w:rPr>
          <w:rFonts w:hint="eastAsia" w:ascii="Times New Roman" w:hAnsi="Times New Roman" w:eastAsia="仿宋_GB2312"/>
          <w:kern w:val="4"/>
          <w:sz w:val="30"/>
          <w:szCs w:val="30"/>
        </w:rPr>
        <w:t>通用</w:t>
      </w:r>
      <w:r>
        <w:rPr>
          <w:rFonts w:ascii="Times New Roman" w:hAnsi="Times New Roman" w:eastAsia="仿宋_GB2312"/>
          <w:kern w:val="4"/>
          <w:sz w:val="30"/>
          <w:szCs w:val="30"/>
        </w:rPr>
        <w:t>机场</w:t>
      </w:r>
      <w:r>
        <w:rPr>
          <w:rFonts w:hint="eastAsia" w:ascii="Times New Roman" w:hAnsi="Times New Roman" w:eastAsia="仿宋_GB2312"/>
          <w:kern w:val="4"/>
          <w:sz w:val="30"/>
          <w:szCs w:val="30"/>
        </w:rPr>
        <w:t>1.50亿元</w:t>
      </w:r>
      <w:r>
        <w:rPr>
          <w:rFonts w:ascii="Times New Roman" w:hAnsi="Times New Roman" w:eastAsia="仿宋_GB2312"/>
          <w:kern w:val="4"/>
          <w:sz w:val="30"/>
          <w:szCs w:val="30"/>
        </w:rPr>
        <w:t>，客货场站16.70亿元，其他2500万元。</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资金来源主要包括争取国家、省级和市级补助（国企、省企投资），地方配套资金和民营企业投资</w:t>
      </w:r>
      <w:r>
        <w:rPr>
          <w:rFonts w:hint="eastAsia" w:ascii="Times New Roman" w:hAnsi="Times New Roman" w:eastAsia="仿宋_GB2312"/>
          <w:kern w:val="4"/>
          <w:sz w:val="30"/>
          <w:szCs w:val="30"/>
        </w:rPr>
        <w:t>。</w:t>
      </w:r>
    </w:p>
    <w:p>
      <w:pPr>
        <w:spacing w:line="560" w:lineRule="exact"/>
        <w:ind w:firstLine="600"/>
        <w:rPr>
          <w:rFonts w:ascii="Times New Roman" w:hAnsi="Times New Roman" w:eastAsia="仿宋_GB2312"/>
          <w:kern w:val="4"/>
          <w:sz w:val="30"/>
          <w:szCs w:val="30"/>
        </w:rPr>
      </w:pPr>
    </w:p>
    <w:p>
      <w:pPr>
        <w:spacing w:line="560" w:lineRule="exact"/>
        <w:ind w:firstLine="600"/>
        <w:rPr>
          <w:rFonts w:ascii="Times New Roman" w:hAnsi="Times New Roman" w:eastAsia="仿宋_GB2312"/>
          <w:kern w:val="4"/>
          <w:sz w:val="30"/>
          <w:szCs w:val="30"/>
        </w:rPr>
      </w:pPr>
    </w:p>
    <w:p>
      <w:pPr>
        <w:spacing w:line="560" w:lineRule="exact"/>
        <w:ind w:firstLine="600"/>
        <w:rPr>
          <w:rFonts w:ascii="Times New Roman" w:hAnsi="Times New Roman" w:eastAsia="仿宋_GB2312"/>
          <w:kern w:val="4"/>
          <w:sz w:val="30"/>
          <w:szCs w:val="30"/>
        </w:rPr>
      </w:pPr>
    </w:p>
    <w:p>
      <w:pPr>
        <w:spacing w:line="560" w:lineRule="exact"/>
        <w:ind w:firstLine="170" w:firstLineChars="71"/>
        <w:jc w:val="center"/>
        <w:rPr>
          <w:rFonts w:ascii="Times New Roman" w:hAnsi="Times New Roman" w:eastAsia="黑体"/>
          <w:bCs/>
          <w:kern w:val="4"/>
          <w:sz w:val="24"/>
        </w:rPr>
      </w:pPr>
      <w:r>
        <w:rPr>
          <w:rFonts w:ascii="Times New Roman" w:hAnsi="Times New Roman" w:eastAsia="黑体"/>
          <w:bCs/>
          <w:kern w:val="4"/>
          <w:sz w:val="24"/>
        </w:rPr>
        <w:t>表5-1  “十三五”重点交通建设项目投资估算（单位：万元）</w:t>
      </w:r>
    </w:p>
    <w:tbl>
      <w:tblPr>
        <w:tblStyle w:val="30"/>
        <w:tblW w:w="8505" w:type="dxa"/>
        <w:jc w:val="center"/>
        <w:tblLayout w:type="autofit"/>
        <w:tblCellMar>
          <w:top w:w="0" w:type="dxa"/>
          <w:left w:w="108" w:type="dxa"/>
          <w:bottom w:w="0" w:type="dxa"/>
          <w:right w:w="108" w:type="dxa"/>
        </w:tblCellMar>
      </w:tblPr>
      <w:tblGrid>
        <w:gridCol w:w="1461"/>
        <w:gridCol w:w="1517"/>
        <w:gridCol w:w="1364"/>
        <w:gridCol w:w="1613"/>
        <w:gridCol w:w="1348"/>
        <w:gridCol w:w="1202"/>
      </w:tblGrid>
      <w:tr>
        <w:tblPrEx>
          <w:tblCellMar>
            <w:top w:w="0" w:type="dxa"/>
            <w:left w:w="108" w:type="dxa"/>
            <w:bottom w:w="0" w:type="dxa"/>
            <w:right w:w="108" w:type="dxa"/>
          </w:tblCellMar>
        </w:tblPrEx>
        <w:trPr>
          <w:trHeight w:val="540" w:hRule="atLeast"/>
          <w:jc w:val="center"/>
        </w:trPr>
        <w:tc>
          <w:tcPr>
            <w:tcW w:w="1461" w:type="dxa"/>
            <w:tcBorders>
              <w:top w:val="double" w:color="auto" w:sz="6" w:space="0"/>
              <w:left w:val="double" w:color="auto" w:sz="6" w:space="0"/>
              <w:bottom w:val="single" w:color="auto" w:sz="8" w:space="0"/>
              <w:right w:val="single" w:color="auto" w:sz="8" w:space="0"/>
            </w:tcBorders>
            <w:shd w:val="clear" w:color="auto" w:fill="auto"/>
            <w:vAlign w:val="center"/>
          </w:tcPr>
          <w:p>
            <w:pPr>
              <w:widowControl/>
              <w:autoSpaceDE/>
              <w:autoSpaceDN/>
              <w:ind w:firstLine="0" w:firstLineChars="0"/>
              <w:jc w:val="center"/>
              <w:rPr>
                <w:rFonts w:ascii="楷体" w:hAnsi="楷体" w:eastAsia="楷体" w:cs="宋体"/>
                <w:b/>
                <w:bCs/>
                <w:color w:val="000000"/>
                <w:kern w:val="0"/>
                <w:sz w:val="21"/>
                <w:szCs w:val="21"/>
              </w:rPr>
            </w:pPr>
            <w:r>
              <w:rPr>
                <w:rFonts w:hint="eastAsia" w:ascii="楷体" w:hAnsi="楷体" w:eastAsia="楷体" w:cs="宋体"/>
                <w:b/>
                <w:bCs/>
                <w:color w:val="000000"/>
                <w:kern w:val="0"/>
                <w:sz w:val="21"/>
                <w:szCs w:val="21"/>
              </w:rPr>
              <w:t>序号</w:t>
            </w:r>
          </w:p>
        </w:tc>
        <w:tc>
          <w:tcPr>
            <w:tcW w:w="1517" w:type="dxa"/>
            <w:tcBorders>
              <w:top w:val="double" w:color="auto" w:sz="6" w:space="0"/>
              <w:left w:val="nil"/>
              <w:bottom w:val="single" w:color="auto" w:sz="8" w:space="0"/>
              <w:right w:val="single" w:color="auto" w:sz="8" w:space="0"/>
            </w:tcBorders>
            <w:shd w:val="clear" w:color="auto" w:fill="auto"/>
            <w:vAlign w:val="center"/>
          </w:tcPr>
          <w:p>
            <w:pPr>
              <w:widowControl/>
              <w:autoSpaceDE/>
              <w:autoSpaceDN/>
              <w:ind w:firstLine="0" w:firstLineChars="0"/>
              <w:jc w:val="center"/>
              <w:rPr>
                <w:rFonts w:ascii="楷体" w:hAnsi="楷体" w:eastAsia="楷体" w:cs="宋体"/>
                <w:b/>
                <w:bCs/>
                <w:color w:val="000000"/>
                <w:kern w:val="0"/>
                <w:sz w:val="21"/>
                <w:szCs w:val="21"/>
              </w:rPr>
            </w:pPr>
            <w:r>
              <w:rPr>
                <w:rFonts w:hint="eastAsia" w:ascii="楷体" w:hAnsi="楷体" w:eastAsia="楷体" w:cs="宋体"/>
                <w:b/>
                <w:bCs/>
                <w:color w:val="000000"/>
                <w:kern w:val="0"/>
                <w:sz w:val="21"/>
                <w:szCs w:val="21"/>
              </w:rPr>
              <w:t>项目名称</w:t>
            </w:r>
          </w:p>
        </w:tc>
        <w:tc>
          <w:tcPr>
            <w:tcW w:w="1364" w:type="dxa"/>
            <w:tcBorders>
              <w:top w:val="double" w:color="auto" w:sz="6" w:space="0"/>
              <w:left w:val="nil"/>
              <w:bottom w:val="single" w:color="auto" w:sz="8" w:space="0"/>
              <w:right w:val="single" w:color="auto" w:sz="8" w:space="0"/>
            </w:tcBorders>
            <w:shd w:val="clear" w:color="auto" w:fill="auto"/>
            <w:vAlign w:val="center"/>
          </w:tcPr>
          <w:p>
            <w:pPr>
              <w:widowControl/>
              <w:autoSpaceDE/>
              <w:autoSpaceDN/>
              <w:ind w:firstLine="0" w:firstLineChars="0"/>
              <w:jc w:val="center"/>
              <w:rPr>
                <w:rFonts w:ascii="楷体" w:hAnsi="楷体" w:eastAsia="楷体" w:cs="宋体"/>
                <w:b/>
                <w:bCs/>
                <w:color w:val="000000"/>
                <w:kern w:val="0"/>
                <w:sz w:val="21"/>
                <w:szCs w:val="21"/>
              </w:rPr>
            </w:pPr>
            <w:r>
              <w:rPr>
                <w:rFonts w:hint="eastAsia" w:ascii="楷体" w:hAnsi="楷体" w:eastAsia="楷体" w:cs="宋体"/>
                <w:b/>
                <w:bCs/>
                <w:color w:val="000000"/>
                <w:kern w:val="0"/>
                <w:sz w:val="21"/>
                <w:szCs w:val="21"/>
              </w:rPr>
              <w:t>总投资</w:t>
            </w:r>
          </w:p>
        </w:tc>
        <w:tc>
          <w:tcPr>
            <w:tcW w:w="1613" w:type="dxa"/>
            <w:tcBorders>
              <w:top w:val="double" w:color="auto" w:sz="6" w:space="0"/>
              <w:left w:val="nil"/>
              <w:bottom w:val="single" w:color="auto" w:sz="8" w:space="0"/>
              <w:right w:val="single" w:color="auto" w:sz="8" w:space="0"/>
            </w:tcBorders>
            <w:shd w:val="clear" w:color="auto" w:fill="auto"/>
            <w:vAlign w:val="center"/>
          </w:tcPr>
          <w:p>
            <w:pPr>
              <w:widowControl/>
              <w:autoSpaceDE/>
              <w:autoSpaceDN/>
              <w:ind w:firstLine="0" w:firstLineChars="0"/>
              <w:jc w:val="center"/>
              <w:rPr>
                <w:rFonts w:ascii="楷体" w:hAnsi="楷体" w:eastAsia="楷体" w:cs="宋体"/>
                <w:b/>
                <w:bCs/>
                <w:color w:val="000000"/>
                <w:kern w:val="0"/>
                <w:sz w:val="21"/>
                <w:szCs w:val="21"/>
              </w:rPr>
            </w:pPr>
            <w:r>
              <w:rPr>
                <w:rFonts w:hint="eastAsia" w:ascii="楷体" w:hAnsi="楷体" w:eastAsia="楷体" w:cs="宋体"/>
                <w:b/>
                <w:bCs/>
                <w:color w:val="000000"/>
                <w:kern w:val="0"/>
                <w:sz w:val="21"/>
                <w:szCs w:val="21"/>
              </w:rPr>
              <w:t>部省市补助</w:t>
            </w:r>
          </w:p>
        </w:tc>
        <w:tc>
          <w:tcPr>
            <w:tcW w:w="1348" w:type="dxa"/>
            <w:tcBorders>
              <w:top w:val="double" w:color="auto" w:sz="6" w:space="0"/>
              <w:left w:val="nil"/>
              <w:bottom w:val="single" w:color="auto" w:sz="8" w:space="0"/>
              <w:right w:val="single" w:color="auto" w:sz="8" w:space="0"/>
            </w:tcBorders>
            <w:shd w:val="clear" w:color="auto" w:fill="auto"/>
            <w:vAlign w:val="center"/>
          </w:tcPr>
          <w:p>
            <w:pPr>
              <w:widowControl/>
              <w:autoSpaceDE/>
              <w:autoSpaceDN/>
              <w:ind w:firstLine="0" w:firstLineChars="0"/>
              <w:jc w:val="center"/>
              <w:rPr>
                <w:rFonts w:ascii="楷体" w:hAnsi="楷体" w:eastAsia="楷体" w:cs="宋体"/>
                <w:b/>
                <w:bCs/>
                <w:color w:val="000000"/>
                <w:kern w:val="0"/>
                <w:sz w:val="21"/>
                <w:szCs w:val="21"/>
              </w:rPr>
            </w:pPr>
            <w:r>
              <w:rPr>
                <w:rFonts w:hint="eastAsia" w:ascii="楷体" w:hAnsi="楷体" w:eastAsia="楷体" w:cs="宋体"/>
                <w:b/>
                <w:bCs/>
                <w:color w:val="000000"/>
                <w:kern w:val="0"/>
                <w:sz w:val="21"/>
                <w:szCs w:val="21"/>
              </w:rPr>
              <w:t>地方配套</w:t>
            </w:r>
          </w:p>
        </w:tc>
        <w:tc>
          <w:tcPr>
            <w:tcW w:w="1202" w:type="dxa"/>
            <w:tcBorders>
              <w:top w:val="double" w:color="auto" w:sz="6" w:space="0"/>
              <w:left w:val="nil"/>
              <w:bottom w:val="single" w:color="auto" w:sz="8" w:space="0"/>
              <w:right w:val="double" w:color="auto" w:sz="6" w:space="0"/>
            </w:tcBorders>
            <w:shd w:val="clear" w:color="auto" w:fill="auto"/>
            <w:vAlign w:val="center"/>
          </w:tcPr>
          <w:p>
            <w:pPr>
              <w:widowControl/>
              <w:autoSpaceDE/>
              <w:autoSpaceDN/>
              <w:ind w:firstLine="0" w:firstLineChars="0"/>
              <w:jc w:val="center"/>
              <w:rPr>
                <w:rFonts w:ascii="楷体" w:hAnsi="楷体" w:eastAsia="楷体" w:cs="宋体"/>
                <w:b/>
                <w:bCs/>
                <w:color w:val="000000"/>
                <w:kern w:val="0"/>
                <w:sz w:val="21"/>
                <w:szCs w:val="21"/>
              </w:rPr>
            </w:pPr>
            <w:r>
              <w:rPr>
                <w:rFonts w:hint="eastAsia" w:ascii="楷体" w:hAnsi="楷体" w:eastAsia="楷体" w:cs="宋体"/>
                <w:b/>
                <w:bCs/>
                <w:color w:val="000000"/>
                <w:kern w:val="0"/>
                <w:sz w:val="21"/>
                <w:szCs w:val="21"/>
              </w:rPr>
              <w:t>社会资本</w:t>
            </w:r>
          </w:p>
        </w:tc>
      </w:tr>
      <w:tr>
        <w:tblPrEx>
          <w:tblCellMar>
            <w:top w:w="0" w:type="dxa"/>
            <w:left w:w="108" w:type="dxa"/>
            <w:bottom w:w="0" w:type="dxa"/>
            <w:right w:w="108" w:type="dxa"/>
          </w:tblCellMar>
        </w:tblPrEx>
        <w:trPr>
          <w:trHeight w:val="285" w:hRule="atLeast"/>
          <w:jc w:val="center"/>
        </w:trPr>
        <w:tc>
          <w:tcPr>
            <w:tcW w:w="1461" w:type="dxa"/>
            <w:vMerge w:val="restart"/>
            <w:tcBorders>
              <w:top w:val="nil"/>
              <w:left w:val="double" w:color="auto" w:sz="6" w:space="0"/>
              <w:bottom w:val="single" w:color="000000" w:sz="8" w:space="0"/>
              <w:right w:val="single" w:color="auto" w:sz="8" w:space="0"/>
            </w:tcBorders>
            <w:shd w:val="clear" w:color="auto" w:fill="auto"/>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公路</w:t>
            </w:r>
          </w:p>
        </w:tc>
        <w:tc>
          <w:tcPr>
            <w:tcW w:w="1517" w:type="dxa"/>
            <w:tcBorders>
              <w:top w:val="nil"/>
              <w:left w:val="nil"/>
              <w:bottom w:val="single" w:color="auto" w:sz="8" w:space="0"/>
              <w:right w:val="single" w:color="auto" w:sz="8" w:space="0"/>
            </w:tcBorders>
            <w:shd w:val="clear" w:color="auto" w:fill="auto"/>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高速公路</w:t>
            </w:r>
          </w:p>
        </w:tc>
        <w:tc>
          <w:tcPr>
            <w:tcW w:w="1364" w:type="dxa"/>
            <w:tcBorders>
              <w:top w:val="nil"/>
              <w:left w:val="nil"/>
              <w:bottom w:val="single" w:color="auto" w:sz="8" w:space="0"/>
              <w:right w:val="single" w:color="auto" w:sz="8" w:space="0"/>
            </w:tcBorders>
            <w:shd w:val="clear" w:color="auto" w:fill="auto"/>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4,600</w:t>
            </w:r>
          </w:p>
        </w:tc>
        <w:tc>
          <w:tcPr>
            <w:tcW w:w="1613" w:type="dxa"/>
            <w:tcBorders>
              <w:top w:val="nil"/>
              <w:left w:val="nil"/>
              <w:bottom w:val="single" w:color="auto" w:sz="8" w:space="0"/>
              <w:right w:val="single" w:color="auto" w:sz="8" w:space="0"/>
            </w:tcBorders>
            <w:shd w:val="clear" w:color="auto" w:fill="auto"/>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1,150</w:t>
            </w:r>
          </w:p>
        </w:tc>
        <w:tc>
          <w:tcPr>
            <w:tcW w:w="1348" w:type="dxa"/>
            <w:tcBorders>
              <w:top w:val="nil"/>
              <w:left w:val="nil"/>
              <w:bottom w:val="single" w:color="auto" w:sz="8" w:space="0"/>
              <w:right w:val="single" w:color="auto" w:sz="8" w:space="0"/>
            </w:tcBorders>
            <w:shd w:val="clear" w:color="auto" w:fill="auto"/>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736</w:t>
            </w:r>
          </w:p>
        </w:tc>
        <w:tc>
          <w:tcPr>
            <w:tcW w:w="1202" w:type="dxa"/>
            <w:tcBorders>
              <w:top w:val="nil"/>
              <w:left w:val="nil"/>
              <w:bottom w:val="single" w:color="auto" w:sz="8" w:space="0"/>
              <w:right w:val="double" w:color="auto" w:sz="6" w:space="0"/>
            </w:tcBorders>
            <w:shd w:val="clear" w:color="auto" w:fill="auto"/>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2,714</w:t>
            </w:r>
          </w:p>
        </w:tc>
      </w:tr>
      <w:tr>
        <w:tblPrEx>
          <w:tblCellMar>
            <w:top w:w="0" w:type="dxa"/>
            <w:left w:w="108" w:type="dxa"/>
            <w:bottom w:w="0" w:type="dxa"/>
            <w:right w:w="108" w:type="dxa"/>
          </w:tblCellMar>
        </w:tblPrEx>
        <w:trPr>
          <w:trHeight w:val="285" w:hRule="atLeast"/>
          <w:jc w:val="center"/>
        </w:trPr>
        <w:tc>
          <w:tcPr>
            <w:tcW w:w="1461" w:type="dxa"/>
            <w:vMerge w:val="continue"/>
            <w:tcBorders>
              <w:top w:val="nil"/>
              <w:left w:val="double" w:color="auto" w:sz="6" w:space="0"/>
              <w:bottom w:val="single" w:color="000000" w:sz="8" w:space="0"/>
              <w:right w:val="single" w:color="auto" w:sz="8" w:space="0"/>
            </w:tcBorders>
            <w:vAlign w:val="center"/>
          </w:tcPr>
          <w:p>
            <w:pPr>
              <w:widowControl/>
              <w:autoSpaceDE/>
              <w:autoSpaceDN/>
              <w:ind w:firstLine="0" w:firstLineChars="0"/>
              <w:jc w:val="center"/>
              <w:rPr>
                <w:rFonts w:ascii="楷体" w:hAnsi="楷体" w:eastAsia="楷体" w:cs="宋体"/>
                <w:color w:val="000000"/>
                <w:kern w:val="0"/>
                <w:sz w:val="21"/>
                <w:szCs w:val="21"/>
              </w:rPr>
            </w:pPr>
          </w:p>
        </w:tc>
        <w:tc>
          <w:tcPr>
            <w:tcW w:w="1517" w:type="dxa"/>
            <w:tcBorders>
              <w:top w:val="nil"/>
              <w:left w:val="nil"/>
              <w:bottom w:val="single" w:color="auto" w:sz="8" w:space="0"/>
              <w:right w:val="single" w:color="auto" w:sz="8" w:space="0"/>
            </w:tcBorders>
            <w:shd w:val="clear" w:color="auto" w:fill="auto"/>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国省干线</w:t>
            </w:r>
          </w:p>
        </w:tc>
        <w:tc>
          <w:tcPr>
            <w:tcW w:w="1364" w:type="dxa"/>
            <w:tcBorders>
              <w:top w:val="nil"/>
              <w:left w:val="nil"/>
              <w:bottom w:val="single" w:color="auto" w:sz="8" w:space="0"/>
              <w:right w:val="single" w:color="auto" w:sz="8" w:space="0"/>
            </w:tcBorders>
            <w:shd w:val="clear" w:color="auto" w:fill="auto"/>
            <w:noWrap/>
            <w:vAlign w:val="center"/>
          </w:tcPr>
          <w:p>
            <w:pPr>
              <w:widowControl/>
              <w:autoSpaceDE/>
              <w:autoSpaceDN/>
              <w:ind w:firstLine="0" w:firstLineChars="0"/>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478,300</w:t>
            </w:r>
          </w:p>
        </w:tc>
        <w:tc>
          <w:tcPr>
            <w:tcW w:w="1613" w:type="dxa"/>
            <w:tcBorders>
              <w:top w:val="nil"/>
              <w:left w:val="nil"/>
              <w:bottom w:val="single" w:color="auto" w:sz="8" w:space="0"/>
              <w:right w:val="single" w:color="auto" w:sz="8" w:space="0"/>
            </w:tcBorders>
            <w:shd w:val="clear" w:color="auto" w:fill="auto"/>
            <w:noWrap/>
            <w:vAlign w:val="center"/>
          </w:tcPr>
          <w:p>
            <w:pPr>
              <w:widowControl/>
              <w:autoSpaceDE/>
              <w:autoSpaceDN/>
              <w:ind w:firstLine="0" w:firstLineChars="0"/>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48,825</w:t>
            </w:r>
          </w:p>
        </w:tc>
        <w:tc>
          <w:tcPr>
            <w:tcW w:w="1348" w:type="dxa"/>
            <w:tcBorders>
              <w:top w:val="nil"/>
              <w:left w:val="nil"/>
              <w:bottom w:val="single" w:color="auto" w:sz="8" w:space="0"/>
              <w:right w:val="single" w:color="auto" w:sz="8" w:space="0"/>
            </w:tcBorders>
            <w:shd w:val="clear" w:color="auto" w:fill="auto"/>
            <w:noWrap/>
            <w:vAlign w:val="center"/>
          </w:tcPr>
          <w:p>
            <w:pPr>
              <w:widowControl/>
              <w:autoSpaceDE/>
              <w:autoSpaceDN/>
              <w:ind w:firstLine="0" w:firstLineChars="0"/>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429,475</w:t>
            </w:r>
          </w:p>
        </w:tc>
        <w:tc>
          <w:tcPr>
            <w:tcW w:w="1202" w:type="dxa"/>
            <w:tcBorders>
              <w:top w:val="nil"/>
              <w:left w:val="nil"/>
              <w:bottom w:val="single" w:color="auto" w:sz="8" w:space="0"/>
              <w:right w:val="double" w:color="auto" w:sz="6" w:space="0"/>
            </w:tcBorders>
            <w:shd w:val="clear" w:color="auto" w:fill="auto"/>
            <w:noWrap/>
            <w:vAlign w:val="center"/>
          </w:tcPr>
          <w:p>
            <w:pPr>
              <w:widowControl/>
              <w:autoSpaceDE/>
              <w:autoSpaceDN/>
              <w:ind w:firstLine="0" w:firstLineChars="0"/>
              <w:jc w:val="center"/>
              <w:rPr>
                <w:rFonts w:ascii="楷体" w:hAnsi="楷体" w:eastAsia="楷体" w:cs="宋体"/>
                <w:color w:val="000000"/>
                <w:kern w:val="0"/>
                <w:sz w:val="21"/>
                <w:szCs w:val="21"/>
              </w:rPr>
            </w:pPr>
          </w:p>
        </w:tc>
      </w:tr>
      <w:tr>
        <w:tblPrEx>
          <w:tblCellMar>
            <w:top w:w="0" w:type="dxa"/>
            <w:left w:w="108" w:type="dxa"/>
            <w:bottom w:w="0" w:type="dxa"/>
            <w:right w:w="108" w:type="dxa"/>
          </w:tblCellMar>
        </w:tblPrEx>
        <w:trPr>
          <w:trHeight w:val="525" w:hRule="atLeast"/>
          <w:jc w:val="center"/>
        </w:trPr>
        <w:tc>
          <w:tcPr>
            <w:tcW w:w="1461" w:type="dxa"/>
            <w:vMerge w:val="continue"/>
            <w:tcBorders>
              <w:top w:val="nil"/>
              <w:left w:val="double" w:color="auto" w:sz="6" w:space="0"/>
              <w:bottom w:val="single" w:color="000000" w:sz="8" w:space="0"/>
              <w:right w:val="single" w:color="auto" w:sz="8" w:space="0"/>
            </w:tcBorders>
            <w:vAlign w:val="center"/>
          </w:tcPr>
          <w:p>
            <w:pPr>
              <w:widowControl/>
              <w:autoSpaceDE/>
              <w:autoSpaceDN/>
              <w:ind w:firstLine="0" w:firstLineChars="0"/>
              <w:jc w:val="center"/>
              <w:rPr>
                <w:rFonts w:ascii="楷体" w:hAnsi="楷体" w:eastAsia="楷体" w:cs="宋体"/>
                <w:color w:val="000000"/>
                <w:kern w:val="0"/>
                <w:sz w:val="21"/>
                <w:szCs w:val="21"/>
              </w:rPr>
            </w:pPr>
          </w:p>
        </w:tc>
        <w:tc>
          <w:tcPr>
            <w:tcW w:w="1517" w:type="dxa"/>
            <w:tcBorders>
              <w:top w:val="nil"/>
              <w:left w:val="nil"/>
              <w:bottom w:val="single" w:color="auto" w:sz="8" w:space="0"/>
              <w:right w:val="single" w:color="auto" w:sz="8" w:space="0"/>
            </w:tcBorders>
            <w:shd w:val="clear" w:color="auto" w:fill="auto"/>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路网连接公路</w:t>
            </w:r>
          </w:p>
        </w:tc>
        <w:tc>
          <w:tcPr>
            <w:tcW w:w="1364" w:type="dxa"/>
            <w:tcBorders>
              <w:top w:val="nil"/>
              <w:left w:val="nil"/>
              <w:bottom w:val="single" w:color="auto" w:sz="8" w:space="0"/>
              <w:right w:val="single" w:color="auto" w:sz="8" w:space="0"/>
            </w:tcBorders>
            <w:shd w:val="clear" w:color="auto" w:fill="auto"/>
            <w:noWrap/>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120,500</w:t>
            </w:r>
          </w:p>
        </w:tc>
        <w:tc>
          <w:tcPr>
            <w:tcW w:w="1613" w:type="dxa"/>
            <w:tcBorders>
              <w:top w:val="nil"/>
              <w:left w:val="nil"/>
              <w:bottom w:val="single" w:color="auto" w:sz="8" w:space="0"/>
              <w:right w:val="single" w:color="auto" w:sz="8" w:space="0"/>
            </w:tcBorders>
            <w:shd w:val="clear" w:color="auto" w:fill="auto"/>
            <w:noWrap/>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26,780</w:t>
            </w:r>
          </w:p>
        </w:tc>
        <w:tc>
          <w:tcPr>
            <w:tcW w:w="1348" w:type="dxa"/>
            <w:tcBorders>
              <w:top w:val="nil"/>
              <w:left w:val="nil"/>
              <w:bottom w:val="single" w:color="auto" w:sz="8" w:space="0"/>
              <w:right w:val="single" w:color="auto" w:sz="8" w:space="0"/>
            </w:tcBorders>
            <w:shd w:val="clear" w:color="auto" w:fill="auto"/>
            <w:noWrap/>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93,720</w:t>
            </w:r>
          </w:p>
        </w:tc>
        <w:tc>
          <w:tcPr>
            <w:tcW w:w="1202" w:type="dxa"/>
            <w:tcBorders>
              <w:top w:val="nil"/>
              <w:left w:val="nil"/>
              <w:bottom w:val="single" w:color="auto" w:sz="8" w:space="0"/>
              <w:right w:val="double" w:color="auto" w:sz="6" w:space="0"/>
            </w:tcBorders>
            <w:shd w:val="clear" w:color="auto" w:fill="auto"/>
            <w:noWrap/>
            <w:vAlign w:val="center"/>
          </w:tcPr>
          <w:p>
            <w:pPr>
              <w:widowControl/>
              <w:autoSpaceDE/>
              <w:autoSpaceDN/>
              <w:ind w:firstLine="0" w:firstLineChars="0"/>
              <w:jc w:val="center"/>
              <w:rPr>
                <w:rFonts w:ascii="楷体" w:hAnsi="楷体" w:eastAsia="楷体" w:cs="宋体"/>
                <w:color w:val="000000"/>
                <w:kern w:val="0"/>
                <w:sz w:val="21"/>
                <w:szCs w:val="21"/>
              </w:rPr>
            </w:pPr>
          </w:p>
        </w:tc>
      </w:tr>
      <w:tr>
        <w:tblPrEx>
          <w:tblCellMar>
            <w:top w:w="0" w:type="dxa"/>
            <w:left w:w="108" w:type="dxa"/>
            <w:bottom w:w="0" w:type="dxa"/>
            <w:right w:w="108" w:type="dxa"/>
          </w:tblCellMar>
        </w:tblPrEx>
        <w:trPr>
          <w:trHeight w:val="285" w:hRule="atLeast"/>
          <w:jc w:val="center"/>
        </w:trPr>
        <w:tc>
          <w:tcPr>
            <w:tcW w:w="1461" w:type="dxa"/>
            <w:vMerge w:val="continue"/>
            <w:tcBorders>
              <w:top w:val="nil"/>
              <w:left w:val="double" w:color="auto" w:sz="6" w:space="0"/>
              <w:bottom w:val="single" w:color="000000" w:sz="8" w:space="0"/>
              <w:right w:val="single" w:color="auto" w:sz="8" w:space="0"/>
            </w:tcBorders>
            <w:vAlign w:val="center"/>
          </w:tcPr>
          <w:p>
            <w:pPr>
              <w:widowControl/>
              <w:autoSpaceDE/>
              <w:autoSpaceDN/>
              <w:ind w:firstLine="0" w:firstLineChars="0"/>
              <w:jc w:val="center"/>
              <w:rPr>
                <w:rFonts w:ascii="楷体" w:hAnsi="楷体" w:eastAsia="楷体" w:cs="宋体"/>
                <w:color w:val="000000"/>
                <w:kern w:val="0"/>
                <w:sz w:val="21"/>
                <w:szCs w:val="21"/>
              </w:rPr>
            </w:pPr>
          </w:p>
        </w:tc>
        <w:tc>
          <w:tcPr>
            <w:tcW w:w="1517" w:type="dxa"/>
            <w:tcBorders>
              <w:top w:val="nil"/>
              <w:left w:val="nil"/>
              <w:bottom w:val="single" w:color="auto" w:sz="8" w:space="0"/>
              <w:right w:val="single" w:color="auto" w:sz="8" w:space="0"/>
            </w:tcBorders>
            <w:shd w:val="clear" w:color="auto" w:fill="auto"/>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农村公路</w:t>
            </w:r>
          </w:p>
        </w:tc>
        <w:tc>
          <w:tcPr>
            <w:tcW w:w="1364" w:type="dxa"/>
            <w:tcBorders>
              <w:top w:val="nil"/>
              <w:left w:val="nil"/>
              <w:bottom w:val="single" w:color="auto" w:sz="8" w:space="0"/>
              <w:right w:val="single" w:color="auto" w:sz="8" w:space="0"/>
            </w:tcBorders>
            <w:shd w:val="clear" w:color="auto" w:fill="auto"/>
            <w:noWrap/>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210,000</w:t>
            </w:r>
          </w:p>
        </w:tc>
        <w:tc>
          <w:tcPr>
            <w:tcW w:w="1613" w:type="dxa"/>
            <w:tcBorders>
              <w:top w:val="nil"/>
              <w:left w:val="nil"/>
              <w:bottom w:val="single" w:color="auto" w:sz="8" w:space="0"/>
              <w:right w:val="single" w:color="auto" w:sz="8" w:space="0"/>
            </w:tcBorders>
            <w:shd w:val="clear" w:color="auto" w:fill="auto"/>
            <w:noWrap/>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31,150</w:t>
            </w:r>
          </w:p>
        </w:tc>
        <w:tc>
          <w:tcPr>
            <w:tcW w:w="1348" w:type="dxa"/>
            <w:tcBorders>
              <w:top w:val="nil"/>
              <w:left w:val="nil"/>
              <w:bottom w:val="single" w:color="auto" w:sz="8" w:space="0"/>
              <w:right w:val="single" w:color="auto" w:sz="8" w:space="0"/>
            </w:tcBorders>
            <w:shd w:val="clear" w:color="auto" w:fill="auto"/>
            <w:noWrap/>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178,850</w:t>
            </w:r>
          </w:p>
        </w:tc>
        <w:tc>
          <w:tcPr>
            <w:tcW w:w="1202" w:type="dxa"/>
            <w:tcBorders>
              <w:top w:val="nil"/>
              <w:left w:val="nil"/>
              <w:bottom w:val="single" w:color="auto" w:sz="8" w:space="0"/>
              <w:right w:val="double" w:color="auto" w:sz="6" w:space="0"/>
            </w:tcBorders>
            <w:shd w:val="clear" w:color="auto" w:fill="auto"/>
            <w:noWrap/>
            <w:vAlign w:val="center"/>
          </w:tcPr>
          <w:p>
            <w:pPr>
              <w:widowControl/>
              <w:autoSpaceDE/>
              <w:autoSpaceDN/>
              <w:ind w:firstLine="0" w:firstLineChars="0"/>
              <w:jc w:val="center"/>
              <w:rPr>
                <w:rFonts w:ascii="楷体" w:hAnsi="楷体" w:eastAsia="楷体" w:cs="宋体"/>
                <w:color w:val="000000"/>
                <w:kern w:val="0"/>
                <w:sz w:val="21"/>
                <w:szCs w:val="21"/>
              </w:rPr>
            </w:pPr>
          </w:p>
        </w:tc>
      </w:tr>
      <w:tr>
        <w:tblPrEx>
          <w:tblCellMar>
            <w:top w:w="0" w:type="dxa"/>
            <w:left w:w="108" w:type="dxa"/>
            <w:bottom w:w="0" w:type="dxa"/>
            <w:right w:w="108" w:type="dxa"/>
          </w:tblCellMar>
        </w:tblPrEx>
        <w:trPr>
          <w:trHeight w:val="285" w:hRule="atLeast"/>
          <w:jc w:val="center"/>
        </w:trPr>
        <w:tc>
          <w:tcPr>
            <w:tcW w:w="1461" w:type="dxa"/>
            <w:vMerge w:val="continue"/>
            <w:tcBorders>
              <w:top w:val="nil"/>
              <w:left w:val="double" w:color="auto" w:sz="6" w:space="0"/>
              <w:bottom w:val="single" w:color="000000" w:sz="8" w:space="0"/>
              <w:right w:val="single" w:color="auto" w:sz="8" w:space="0"/>
            </w:tcBorders>
            <w:vAlign w:val="center"/>
          </w:tcPr>
          <w:p>
            <w:pPr>
              <w:widowControl/>
              <w:autoSpaceDE/>
              <w:autoSpaceDN/>
              <w:ind w:firstLine="0" w:firstLineChars="0"/>
              <w:jc w:val="center"/>
              <w:rPr>
                <w:rFonts w:ascii="楷体" w:hAnsi="楷体" w:eastAsia="楷体" w:cs="宋体"/>
                <w:color w:val="000000"/>
                <w:kern w:val="0"/>
                <w:sz w:val="21"/>
                <w:szCs w:val="21"/>
              </w:rPr>
            </w:pPr>
          </w:p>
        </w:tc>
        <w:tc>
          <w:tcPr>
            <w:tcW w:w="1517" w:type="dxa"/>
            <w:tcBorders>
              <w:top w:val="nil"/>
              <w:left w:val="nil"/>
              <w:bottom w:val="single" w:color="auto" w:sz="8" w:space="0"/>
              <w:right w:val="single" w:color="auto" w:sz="8" w:space="0"/>
            </w:tcBorders>
            <w:shd w:val="clear" w:color="auto" w:fill="auto"/>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小计</w:t>
            </w:r>
          </w:p>
        </w:tc>
        <w:tc>
          <w:tcPr>
            <w:tcW w:w="1364" w:type="dxa"/>
            <w:tcBorders>
              <w:top w:val="nil"/>
              <w:left w:val="nil"/>
              <w:bottom w:val="single" w:color="auto" w:sz="8" w:space="0"/>
              <w:right w:val="single" w:color="auto" w:sz="8" w:space="0"/>
            </w:tcBorders>
            <w:shd w:val="clear" w:color="auto" w:fill="auto"/>
            <w:noWrap/>
            <w:vAlign w:val="center"/>
          </w:tcPr>
          <w:p>
            <w:pPr>
              <w:widowControl/>
              <w:autoSpaceDE/>
              <w:autoSpaceDN/>
              <w:ind w:firstLine="0" w:firstLineChars="0"/>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813,400</w:t>
            </w:r>
          </w:p>
        </w:tc>
        <w:tc>
          <w:tcPr>
            <w:tcW w:w="1613" w:type="dxa"/>
            <w:tcBorders>
              <w:top w:val="nil"/>
              <w:left w:val="nil"/>
              <w:bottom w:val="single" w:color="auto" w:sz="8" w:space="0"/>
              <w:right w:val="single" w:color="auto" w:sz="8" w:space="0"/>
            </w:tcBorders>
            <w:shd w:val="clear" w:color="auto" w:fill="auto"/>
            <w:noWrap/>
            <w:vAlign w:val="center"/>
          </w:tcPr>
          <w:p>
            <w:pPr>
              <w:widowControl/>
              <w:autoSpaceDE/>
              <w:autoSpaceDN/>
              <w:ind w:firstLine="0" w:firstLineChars="0"/>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107,905</w:t>
            </w:r>
          </w:p>
        </w:tc>
        <w:tc>
          <w:tcPr>
            <w:tcW w:w="1348" w:type="dxa"/>
            <w:tcBorders>
              <w:top w:val="nil"/>
              <w:left w:val="nil"/>
              <w:bottom w:val="single" w:color="auto" w:sz="8" w:space="0"/>
              <w:right w:val="single" w:color="auto" w:sz="8" w:space="0"/>
            </w:tcBorders>
            <w:shd w:val="clear" w:color="auto" w:fill="auto"/>
            <w:noWrap/>
            <w:vAlign w:val="center"/>
          </w:tcPr>
          <w:p>
            <w:pPr>
              <w:widowControl/>
              <w:autoSpaceDE/>
              <w:autoSpaceDN/>
              <w:ind w:firstLine="0" w:firstLineChars="0"/>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702,781</w:t>
            </w:r>
          </w:p>
        </w:tc>
        <w:tc>
          <w:tcPr>
            <w:tcW w:w="1202" w:type="dxa"/>
            <w:tcBorders>
              <w:top w:val="nil"/>
              <w:left w:val="nil"/>
              <w:bottom w:val="single" w:color="auto" w:sz="8" w:space="0"/>
              <w:right w:val="double" w:color="auto" w:sz="6" w:space="0"/>
            </w:tcBorders>
            <w:shd w:val="clear" w:color="auto" w:fill="auto"/>
            <w:noWrap/>
            <w:vAlign w:val="center"/>
          </w:tcPr>
          <w:p>
            <w:pPr>
              <w:widowControl/>
              <w:autoSpaceDE/>
              <w:autoSpaceDN/>
              <w:ind w:firstLine="0" w:firstLineChars="0"/>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2,714</w:t>
            </w:r>
          </w:p>
        </w:tc>
      </w:tr>
      <w:tr>
        <w:tblPrEx>
          <w:tblCellMar>
            <w:top w:w="0" w:type="dxa"/>
            <w:left w:w="108" w:type="dxa"/>
            <w:bottom w:w="0" w:type="dxa"/>
            <w:right w:w="108" w:type="dxa"/>
          </w:tblCellMar>
        </w:tblPrEx>
        <w:trPr>
          <w:trHeight w:val="285" w:hRule="atLeast"/>
          <w:jc w:val="center"/>
        </w:trPr>
        <w:tc>
          <w:tcPr>
            <w:tcW w:w="2978" w:type="dxa"/>
            <w:gridSpan w:val="2"/>
            <w:tcBorders>
              <w:top w:val="single" w:color="auto" w:sz="8" w:space="0"/>
              <w:left w:val="double" w:color="auto" w:sz="6" w:space="0"/>
              <w:bottom w:val="single" w:color="auto" w:sz="8" w:space="0"/>
              <w:right w:val="single" w:color="000000" w:sz="8" w:space="0"/>
            </w:tcBorders>
            <w:shd w:val="clear" w:color="auto" w:fill="auto"/>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轨道</w:t>
            </w:r>
          </w:p>
        </w:tc>
        <w:tc>
          <w:tcPr>
            <w:tcW w:w="1364" w:type="dxa"/>
            <w:tcBorders>
              <w:top w:val="nil"/>
              <w:left w:val="nil"/>
              <w:bottom w:val="single" w:color="auto" w:sz="8" w:space="0"/>
              <w:right w:val="single" w:color="auto" w:sz="8" w:space="0"/>
            </w:tcBorders>
            <w:shd w:val="clear" w:color="auto" w:fill="auto"/>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1,112,100</w:t>
            </w:r>
          </w:p>
        </w:tc>
        <w:tc>
          <w:tcPr>
            <w:tcW w:w="1613" w:type="dxa"/>
            <w:tcBorders>
              <w:top w:val="nil"/>
              <w:left w:val="nil"/>
              <w:bottom w:val="single" w:color="auto" w:sz="8" w:space="0"/>
              <w:right w:val="single" w:color="auto" w:sz="8" w:space="0"/>
            </w:tcBorders>
            <w:shd w:val="clear" w:color="auto" w:fill="auto"/>
            <w:vAlign w:val="center"/>
          </w:tcPr>
          <w:p>
            <w:pPr>
              <w:widowControl/>
              <w:autoSpaceDE/>
              <w:autoSpaceDN/>
              <w:ind w:firstLine="0" w:firstLineChars="0"/>
              <w:jc w:val="center"/>
              <w:rPr>
                <w:rFonts w:ascii="楷体" w:hAnsi="楷体" w:eastAsia="楷体" w:cs="宋体"/>
                <w:color w:val="000000"/>
                <w:kern w:val="0"/>
                <w:sz w:val="21"/>
                <w:szCs w:val="21"/>
              </w:rPr>
            </w:pPr>
          </w:p>
        </w:tc>
        <w:tc>
          <w:tcPr>
            <w:tcW w:w="1348" w:type="dxa"/>
            <w:tcBorders>
              <w:top w:val="nil"/>
              <w:left w:val="nil"/>
              <w:bottom w:val="single" w:color="auto" w:sz="8" w:space="0"/>
              <w:right w:val="single" w:color="auto" w:sz="8" w:space="0"/>
            </w:tcBorders>
            <w:shd w:val="clear" w:color="auto" w:fill="auto"/>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417,163</w:t>
            </w:r>
          </w:p>
        </w:tc>
        <w:tc>
          <w:tcPr>
            <w:tcW w:w="1202" w:type="dxa"/>
            <w:tcBorders>
              <w:top w:val="nil"/>
              <w:left w:val="nil"/>
              <w:bottom w:val="single" w:color="auto" w:sz="8" w:space="0"/>
              <w:right w:val="double" w:color="auto" w:sz="6" w:space="0"/>
            </w:tcBorders>
            <w:shd w:val="clear" w:color="auto" w:fill="auto"/>
            <w:noWrap/>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694,938</w:t>
            </w:r>
          </w:p>
        </w:tc>
      </w:tr>
      <w:tr>
        <w:tblPrEx>
          <w:tblCellMar>
            <w:top w:w="0" w:type="dxa"/>
            <w:left w:w="108" w:type="dxa"/>
            <w:bottom w:w="0" w:type="dxa"/>
            <w:right w:w="108" w:type="dxa"/>
          </w:tblCellMar>
        </w:tblPrEx>
        <w:trPr>
          <w:trHeight w:val="285" w:hRule="atLeast"/>
          <w:jc w:val="center"/>
        </w:trPr>
        <w:tc>
          <w:tcPr>
            <w:tcW w:w="1461" w:type="dxa"/>
            <w:vMerge w:val="restart"/>
            <w:tcBorders>
              <w:top w:val="nil"/>
              <w:left w:val="double" w:color="auto" w:sz="6" w:space="0"/>
              <w:bottom w:val="single" w:color="000000" w:sz="8" w:space="0"/>
              <w:right w:val="single" w:color="auto" w:sz="8" w:space="0"/>
            </w:tcBorders>
            <w:shd w:val="clear" w:color="auto" w:fill="auto"/>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水运</w:t>
            </w:r>
          </w:p>
        </w:tc>
        <w:tc>
          <w:tcPr>
            <w:tcW w:w="1517" w:type="dxa"/>
            <w:tcBorders>
              <w:top w:val="nil"/>
              <w:left w:val="nil"/>
              <w:bottom w:val="single" w:color="auto" w:sz="8" w:space="0"/>
              <w:right w:val="single" w:color="auto" w:sz="8" w:space="0"/>
            </w:tcBorders>
            <w:shd w:val="clear" w:color="auto" w:fill="auto"/>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航道</w:t>
            </w:r>
          </w:p>
        </w:tc>
        <w:tc>
          <w:tcPr>
            <w:tcW w:w="1364" w:type="dxa"/>
            <w:tcBorders>
              <w:top w:val="nil"/>
              <w:left w:val="nil"/>
              <w:bottom w:val="single" w:color="auto" w:sz="8" w:space="0"/>
              <w:right w:val="single" w:color="auto" w:sz="8" w:space="0"/>
            </w:tcBorders>
            <w:shd w:val="clear" w:color="auto" w:fill="auto"/>
            <w:noWrap/>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330,000</w:t>
            </w:r>
          </w:p>
        </w:tc>
        <w:tc>
          <w:tcPr>
            <w:tcW w:w="1613" w:type="dxa"/>
            <w:tcBorders>
              <w:top w:val="nil"/>
              <w:left w:val="nil"/>
              <w:bottom w:val="single" w:color="auto" w:sz="8" w:space="0"/>
              <w:right w:val="single" w:color="auto" w:sz="8" w:space="0"/>
            </w:tcBorders>
            <w:shd w:val="clear" w:color="auto" w:fill="auto"/>
            <w:noWrap/>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330,000</w:t>
            </w:r>
          </w:p>
        </w:tc>
        <w:tc>
          <w:tcPr>
            <w:tcW w:w="1348" w:type="dxa"/>
            <w:tcBorders>
              <w:top w:val="nil"/>
              <w:left w:val="nil"/>
              <w:bottom w:val="single" w:color="auto" w:sz="8" w:space="0"/>
              <w:right w:val="single" w:color="auto" w:sz="8" w:space="0"/>
            </w:tcBorders>
            <w:shd w:val="clear" w:color="auto" w:fill="auto"/>
            <w:noWrap/>
            <w:vAlign w:val="center"/>
          </w:tcPr>
          <w:p>
            <w:pPr>
              <w:widowControl/>
              <w:autoSpaceDE/>
              <w:autoSpaceDN/>
              <w:ind w:firstLine="0" w:firstLineChars="0"/>
              <w:jc w:val="center"/>
              <w:rPr>
                <w:rFonts w:ascii="楷体" w:hAnsi="楷体" w:eastAsia="楷体" w:cs="宋体"/>
                <w:color w:val="000000"/>
                <w:kern w:val="0"/>
                <w:sz w:val="21"/>
                <w:szCs w:val="21"/>
              </w:rPr>
            </w:pPr>
          </w:p>
        </w:tc>
        <w:tc>
          <w:tcPr>
            <w:tcW w:w="1202" w:type="dxa"/>
            <w:tcBorders>
              <w:top w:val="nil"/>
              <w:left w:val="nil"/>
              <w:bottom w:val="single" w:color="auto" w:sz="8" w:space="0"/>
              <w:right w:val="double" w:color="auto" w:sz="6" w:space="0"/>
            </w:tcBorders>
            <w:shd w:val="clear" w:color="auto" w:fill="auto"/>
            <w:noWrap/>
            <w:vAlign w:val="center"/>
          </w:tcPr>
          <w:p>
            <w:pPr>
              <w:widowControl/>
              <w:autoSpaceDE/>
              <w:autoSpaceDN/>
              <w:ind w:firstLine="0" w:firstLineChars="0"/>
              <w:jc w:val="center"/>
              <w:rPr>
                <w:rFonts w:ascii="楷体" w:hAnsi="楷体" w:eastAsia="楷体" w:cs="宋体"/>
                <w:color w:val="000000"/>
                <w:kern w:val="0"/>
                <w:sz w:val="21"/>
                <w:szCs w:val="21"/>
              </w:rPr>
            </w:pPr>
          </w:p>
        </w:tc>
      </w:tr>
      <w:tr>
        <w:tblPrEx>
          <w:tblCellMar>
            <w:top w:w="0" w:type="dxa"/>
            <w:left w:w="108" w:type="dxa"/>
            <w:bottom w:w="0" w:type="dxa"/>
            <w:right w:w="108" w:type="dxa"/>
          </w:tblCellMar>
        </w:tblPrEx>
        <w:trPr>
          <w:trHeight w:val="285" w:hRule="atLeast"/>
          <w:jc w:val="center"/>
        </w:trPr>
        <w:tc>
          <w:tcPr>
            <w:tcW w:w="1461" w:type="dxa"/>
            <w:vMerge w:val="continue"/>
            <w:tcBorders>
              <w:top w:val="nil"/>
              <w:left w:val="double" w:color="auto" w:sz="6" w:space="0"/>
              <w:bottom w:val="single" w:color="000000" w:sz="8" w:space="0"/>
              <w:right w:val="single" w:color="auto" w:sz="8" w:space="0"/>
            </w:tcBorders>
            <w:vAlign w:val="center"/>
          </w:tcPr>
          <w:p>
            <w:pPr>
              <w:widowControl/>
              <w:autoSpaceDE/>
              <w:autoSpaceDN/>
              <w:ind w:firstLine="0" w:firstLineChars="0"/>
              <w:jc w:val="center"/>
              <w:rPr>
                <w:rFonts w:ascii="楷体" w:hAnsi="楷体" w:eastAsia="楷体" w:cs="宋体"/>
                <w:color w:val="000000"/>
                <w:kern w:val="0"/>
                <w:sz w:val="21"/>
                <w:szCs w:val="21"/>
              </w:rPr>
            </w:pPr>
          </w:p>
        </w:tc>
        <w:tc>
          <w:tcPr>
            <w:tcW w:w="1517" w:type="dxa"/>
            <w:tcBorders>
              <w:top w:val="nil"/>
              <w:left w:val="nil"/>
              <w:bottom w:val="single" w:color="auto" w:sz="8" w:space="0"/>
              <w:right w:val="single" w:color="auto" w:sz="8" w:space="0"/>
            </w:tcBorders>
            <w:shd w:val="clear" w:color="auto" w:fill="auto"/>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港口</w:t>
            </w:r>
          </w:p>
        </w:tc>
        <w:tc>
          <w:tcPr>
            <w:tcW w:w="1364" w:type="dxa"/>
            <w:tcBorders>
              <w:top w:val="nil"/>
              <w:left w:val="nil"/>
              <w:bottom w:val="single" w:color="auto" w:sz="8" w:space="0"/>
              <w:right w:val="single" w:color="auto" w:sz="8" w:space="0"/>
            </w:tcBorders>
            <w:shd w:val="clear" w:color="auto" w:fill="auto"/>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35,000</w:t>
            </w:r>
          </w:p>
        </w:tc>
        <w:tc>
          <w:tcPr>
            <w:tcW w:w="1613" w:type="dxa"/>
            <w:tcBorders>
              <w:top w:val="nil"/>
              <w:left w:val="nil"/>
              <w:bottom w:val="single" w:color="auto" w:sz="8" w:space="0"/>
              <w:right w:val="single" w:color="auto" w:sz="8" w:space="0"/>
            </w:tcBorders>
            <w:shd w:val="clear" w:color="auto" w:fill="auto"/>
            <w:vAlign w:val="center"/>
          </w:tcPr>
          <w:p>
            <w:pPr>
              <w:widowControl/>
              <w:autoSpaceDE/>
              <w:autoSpaceDN/>
              <w:ind w:firstLine="0" w:firstLineChars="0"/>
              <w:jc w:val="center"/>
              <w:rPr>
                <w:rFonts w:ascii="楷体" w:hAnsi="楷体" w:eastAsia="楷体" w:cs="宋体"/>
                <w:color w:val="000000"/>
                <w:kern w:val="0"/>
                <w:sz w:val="21"/>
                <w:szCs w:val="21"/>
              </w:rPr>
            </w:pPr>
          </w:p>
        </w:tc>
        <w:tc>
          <w:tcPr>
            <w:tcW w:w="1348" w:type="dxa"/>
            <w:tcBorders>
              <w:top w:val="nil"/>
              <w:left w:val="nil"/>
              <w:bottom w:val="single" w:color="auto" w:sz="8" w:space="0"/>
              <w:right w:val="single" w:color="auto" w:sz="8" w:space="0"/>
            </w:tcBorders>
            <w:shd w:val="clear" w:color="auto" w:fill="auto"/>
            <w:vAlign w:val="center"/>
          </w:tcPr>
          <w:p>
            <w:pPr>
              <w:widowControl/>
              <w:autoSpaceDE/>
              <w:autoSpaceDN/>
              <w:ind w:firstLine="0" w:firstLineChars="0"/>
              <w:jc w:val="center"/>
              <w:rPr>
                <w:rFonts w:ascii="楷体" w:hAnsi="楷体" w:eastAsia="楷体" w:cs="宋体"/>
                <w:color w:val="000000"/>
                <w:kern w:val="0"/>
                <w:sz w:val="21"/>
                <w:szCs w:val="21"/>
              </w:rPr>
            </w:pPr>
          </w:p>
        </w:tc>
        <w:tc>
          <w:tcPr>
            <w:tcW w:w="1202" w:type="dxa"/>
            <w:tcBorders>
              <w:top w:val="nil"/>
              <w:left w:val="nil"/>
              <w:bottom w:val="single" w:color="auto" w:sz="8" w:space="0"/>
              <w:right w:val="double" w:color="auto" w:sz="6" w:space="0"/>
            </w:tcBorders>
            <w:shd w:val="clear" w:color="auto" w:fill="auto"/>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35,000</w:t>
            </w:r>
          </w:p>
        </w:tc>
      </w:tr>
      <w:tr>
        <w:tblPrEx>
          <w:tblCellMar>
            <w:top w:w="0" w:type="dxa"/>
            <w:left w:w="108" w:type="dxa"/>
            <w:bottom w:w="0" w:type="dxa"/>
            <w:right w:w="108" w:type="dxa"/>
          </w:tblCellMar>
        </w:tblPrEx>
        <w:trPr>
          <w:trHeight w:val="525" w:hRule="atLeast"/>
          <w:jc w:val="center"/>
        </w:trPr>
        <w:tc>
          <w:tcPr>
            <w:tcW w:w="1461" w:type="dxa"/>
            <w:vMerge w:val="continue"/>
            <w:tcBorders>
              <w:top w:val="nil"/>
              <w:left w:val="double" w:color="auto" w:sz="6" w:space="0"/>
              <w:bottom w:val="single" w:color="000000" w:sz="8" w:space="0"/>
              <w:right w:val="single" w:color="auto" w:sz="8" w:space="0"/>
            </w:tcBorders>
            <w:vAlign w:val="center"/>
          </w:tcPr>
          <w:p>
            <w:pPr>
              <w:widowControl/>
              <w:autoSpaceDE/>
              <w:autoSpaceDN/>
              <w:ind w:firstLine="0" w:firstLineChars="0"/>
              <w:jc w:val="center"/>
              <w:rPr>
                <w:rFonts w:ascii="楷体" w:hAnsi="楷体" w:eastAsia="楷体" w:cs="宋体"/>
                <w:color w:val="000000"/>
                <w:kern w:val="0"/>
                <w:sz w:val="21"/>
                <w:szCs w:val="21"/>
              </w:rPr>
            </w:pPr>
          </w:p>
        </w:tc>
        <w:tc>
          <w:tcPr>
            <w:tcW w:w="1517" w:type="dxa"/>
            <w:tcBorders>
              <w:top w:val="nil"/>
              <w:left w:val="nil"/>
              <w:bottom w:val="single" w:color="auto" w:sz="8" w:space="0"/>
              <w:right w:val="single" w:color="auto" w:sz="8" w:space="0"/>
            </w:tcBorders>
            <w:shd w:val="clear" w:color="auto" w:fill="auto"/>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水上搜救中心</w:t>
            </w:r>
          </w:p>
        </w:tc>
        <w:tc>
          <w:tcPr>
            <w:tcW w:w="1364" w:type="dxa"/>
            <w:tcBorders>
              <w:top w:val="nil"/>
              <w:left w:val="nil"/>
              <w:bottom w:val="single" w:color="auto" w:sz="8" w:space="0"/>
              <w:right w:val="single" w:color="auto" w:sz="8" w:space="0"/>
            </w:tcBorders>
            <w:shd w:val="clear" w:color="auto" w:fill="auto"/>
            <w:noWrap/>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5,000</w:t>
            </w:r>
          </w:p>
        </w:tc>
        <w:tc>
          <w:tcPr>
            <w:tcW w:w="1613" w:type="dxa"/>
            <w:tcBorders>
              <w:top w:val="nil"/>
              <w:left w:val="nil"/>
              <w:bottom w:val="single" w:color="auto" w:sz="8" w:space="0"/>
              <w:right w:val="single" w:color="auto" w:sz="8" w:space="0"/>
            </w:tcBorders>
            <w:shd w:val="clear" w:color="auto" w:fill="auto"/>
            <w:noWrap/>
            <w:vAlign w:val="center"/>
          </w:tcPr>
          <w:p>
            <w:pPr>
              <w:widowControl/>
              <w:autoSpaceDE/>
              <w:autoSpaceDN/>
              <w:ind w:firstLine="0" w:firstLineChars="0"/>
              <w:jc w:val="center"/>
              <w:rPr>
                <w:rFonts w:ascii="楷体" w:hAnsi="楷体" w:eastAsia="楷体" w:cs="宋体"/>
                <w:color w:val="000000"/>
                <w:kern w:val="0"/>
                <w:sz w:val="21"/>
                <w:szCs w:val="21"/>
              </w:rPr>
            </w:pPr>
          </w:p>
        </w:tc>
        <w:tc>
          <w:tcPr>
            <w:tcW w:w="1348" w:type="dxa"/>
            <w:tcBorders>
              <w:top w:val="nil"/>
              <w:left w:val="nil"/>
              <w:bottom w:val="single" w:color="auto" w:sz="8" w:space="0"/>
              <w:right w:val="single" w:color="auto" w:sz="8" w:space="0"/>
            </w:tcBorders>
            <w:shd w:val="clear" w:color="auto" w:fill="auto"/>
            <w:noWrap/>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5,000</w:t>
            </w:r>
          </w:p>
        </w:tc>
        <w:tc>
          <w:tcPr>
            <w:tcW w:w="1202" w:type="dxa"/>
            <w:tcBorders>
              <w:top w:val="nil"/>
              <w:left w:val="nil"/>
              <w:bottom w:val="single" w:color="auto" w:sz="8" w:space="0"/>
              <w:right w:val="double" w:color="auto" w:sz="6" w:space="0"/>
            </w:tcBorders>
            <w:shd w:val="clear" w:color="auto" w:fill="auto"/>
            <w:noWrap/>
            <w:vAlign w:val="center"/>
          </w:tcPr>
          <w:p>
            <w:pPr>
              <w:widowControl/>
              <w:autoSpaceDE/>
              <w:autoSpaceDN/>
              <w:ind w:firstLine="0" w:firstLineChars="0"/>
              <w:jc w:val="center"/>
              <w:rPr>
                <w:rFonts w:ascii="楷体" w:hAnsi="楷体" w:eastAsia="楷体" w:cs="宋体"/>
                <w:color w:val="000000"/>
                <w:kern w:val="0"/>
                <w:sz w:val="21"/>
                <w:szCs w:val="21"/>
              </w:rPr>
            </w:pPr>
          </w:p>
        </w:tc>
      </w:tr>
      <w:tr>
        <w:tblPrEx>
          <w:tblCellMar>
            <w:top w:w="0" w:type="dxa"/>
            <w:left w:w="108" w:type="dxa"/>
            <w:bottom w:w="0" w:type="dxa"/>
            <w:right w:w="108" w:type="dxa"/>
          </w:tblCellMar>
        </w:tblPrEx>
        <w:trPr>
          <w:trHeight w:val="285" w:hRule="atLeast"/>
          <w:jc w:val="center"/>
        </w:trPr>
        <w:tc>
          <w:tcPr>
            <w:tcW w:w="1461" w:type="dxa"/>
            <w:vMerge w:val="continue"/>
            <w:tcBorders>
              <w:top w:val="nil"/>
              <w:left w:val="double" w:color="auto" w:sz="6" w:space="0"/>
              <w:bottom w:val="single" w:color="000000" w:sz="8" w:space="0"/>
              <w:right w:val="single" w:color="auto" w:sz="8" w:space="0"/>
            </w:tcBorders>
            <w:vAlign w:val="center"/>
          </w:tcPr>
          <w:p>
            <w:pPr>
              <w:widowControl/>
              <w:autoSpaceDE/>
              <w:autoSpaceDN/>
              <w:ind w:firstLine="0" w:firstLineChars="0"/>
              <w:jc w:val="center"/>
              <w:rPr>
                <w:rFonts w:ascii="楷体" w:hAnsi="楷体" w:eastAsia="楷体" w:cs="宋体"/>
                <w:color w:val="000000"/>
                <w:kern w:val="0"/>
                <w:sz w:val="21"/>
                <w:szCs w:val="21"/>
              </w:rPr>
            </w:pPr>
          </w:p>
        </w:tc>
        <w:tc>
          <w:tcPr>
            <w:tcW w:w="1517" w:type="dxa"/>
            <w:tcBorders>
              <w:top w:val="nil"/>
              <w:left w:val="nil"/>
              <w:bottom w:val="single" w:color="auto" w:sz="8" w:space="0"/>
              <w:right w:val="single" w:color="auto" w:sz="8" w:space="0"/>
            </w:tcBorders>
            <w:shd w:val="clear" w:color="auto" w:fill="auto"/>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小计</w:t>
            </w:r>
          </w:p>
        </w:tc>
        <w:tc>
          <w:tcPr>
            <w:tcW w:w="1364" w:type="dxa"/>
            <w:tcBorders>
              <w:top w:val="nil"/>
              <w:left w:val="nil"/>
              <w:bottom w:val="single" w:color="auto" w:sz="8" w:space="0"/>
              <w:right w:val="single" w:color="auto" w:sz="8" w:space="0"/>
            </w:tcBorders>
            <w:shd w:val="clear" w:color="auto" w:fill="auto"/>
            <w:noWrap/>
            <w:vAlign w:val="center"/>
          </w:tcPr>
          <w:p>
            <w:pPr>
              <w:widowControl/>
              <w:autoSpaceDE/>
              <w:autoSpaceDN/>
              <w:ind w:firstLine="0" w:firstLineChars="0"/>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370,000</w:t>
            </w:r>
          </w:p>
        </w:tc>
        <w:tc>
          <w:tcPr>
            <w:tcW w:w="1613" w:type="dxa"/>
            <w:tcBorders>
              <w:top w:val="nil"/>
              <w:left w:val="nil"/>
              <w:bottom w:val="single" w:color="auto" w:sz="8" w:space="0"/>
              <w:right w:val="single" w:color="auto" w:sz="8" w:space="0"/>
            </w:tcBorders>
            <w:shd w:val="clear" w:color="auto" w:fill="auto"/>
            <w:noWrap/>
            <w:vAlign w:val="center"/>
          </w:tcPr>
          <w:p>
            <w:pPr>
              <w:widowControl/>
              <w:autoSpaceDE/>
              <w:autoSpaceDN/>
              <w:ind w:firstLine="0" w:firstLineChars="0"/>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330,000</w:t>
            </w:r>
          </w:p>
        </w:tc>
        <w:tc>
          <w:tcPr>
            <w:tcW w:w="1348" w:type="dxa"/>
            <w:tcBorders>
              <w:top w:val="nil"/>
              <w:left w:val="nil"/>
              <w:bottom w:val="single" w:color="auto" w:sz="8" w:space="0"/>
              <w:right w:val="single" w:color="auto" w:sz="8" w:space="0"/>
            </w:tcBorders>
            <w:shd w:val="clear" w:color="auto" w:fill="auto"/>
            <w:noWrap/>
            <w:vAlign w:val="center"/>
          </w:tcPr>
          <w:p>
            <w:pPr>
              <w:widowControl/>
              <w:autoSpaceDE/>
              <w:autoSpaceDN/>
              <w:ind w:firstLine="0" w:firstLineChars="0"/>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5,000</w:t>
            </w:r>
          </w:p>
        </w:tc>
        <w:tc>
          <w:tcPr>
            <w:tcW w:w="1202" w:type="dxa"/>
            <w:tcBorders>
              <w:top w:val="nil"/>
              <w:left w:val="nil"/>
              <w:bottom w:val="single" w:color="auto" w:sz="8" w:space="0"/>
              <w:right w:val="double" w:color="auto" w:sz="6" w:space="0"/>
            </w:tcBorders>
            <w:shd w:val="clear" w:color="auto" w:fill="auto"/>
            <w:noWrap/>
            <w:vAlign w:val="center"/>
          </w:tcPr>
          <w:p>
            <w:pPr>
              <w:widowControl/>
              <w:autoSpaceDE/>
              <w:autoSpaceDN/>
              <w:ind w:firstLine="0" w:firstLineChars="0"/>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35,000</w:t>
            </w:r>
          </w:p>
        </w:tc>
      </w:tr>
      <w:tr>
        <w:tblPrEx>
          <w:tblCellMar>
            <w:top w:w="0" w:type="dxa"/>
            <w:left w:w="108" w:type="dxa"/>
            <w:bottom w:w="0" w:type="dxa"/>
            <w:right w:w="108" w:type="dxa"/>
          </w:tblCellMar>
        </w:tblPrEx>
        <w:trPr>
          <w:trHeight w:val="285" w:hRule="atLeast"/>
          <w:jc w:val="center"/>
        </w:trPr>
        <w:tc>
          <w:tcPr>
            <w:tcW w:w="2978" w:type="dxa"/>
            <w:gridSpan w:val="2"/>
            <w:tcBorders>
              <w:top w:val="single" w:color="auto" w:sz="8" w:space="0"/>
              <w:left w:val="double" w:color="auto" w:sz="6" w:space="0"/>
              <w:bottom w:val="single" w:color="auto" w:sz="8" w:space="0"/>
              <w:right w:val="single" w:color="000000" w:sz="8" w:space="0"/>
            </w:tcBorders>
            <w:shd w:val="clear" w:color="auto" w:fill="auto"/>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通用机场</w:t>
            </w:r>
          </w:p>
        </w:tc>
        <w:tc>
          <w:tcPr>
            <w:tcW w:w="1364" w:type="dxa"/>
            <w:tcBorders>
              <w:top w:val="nil"/>
              <w:left w:val="nil"/>
              <w:bottom w:val="single" w:color="auto" w:sz="8" w:space="0"/>
              <w:right w:val="single" w:color="auto" w:sz="8" w:space="0"/>
            </w:tcBorders>
            <w:shd w:val="clear" w:color="auto" w:fill="auto"/>
            <w:noWrap/>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15,000</w:t>
            </w:r>
          </w:p>
        </w:tc>
        <w:tc>
          <w:tcPr>
            <w:tcW w:w="1613" w:type="dxa"/>
            <w:tcBorders>
              <w:top w:val="nil"/>
              <w:left w:val="nil"/>
              <w:bottom w:val="single" w:color="auto" w:sz="8" w:space="0"/>
              <w:right w:val="single" w:color="auto" w:sz="8" w:space="0"/>
            </w:tcBorders>
            <w:shd w:val="clear" w:color="auto" w:fill="auto"/>
            <w:noWrap/>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5,000</w:t>
            </w:r>
          </w:p>
        </w:tc>
        <w:tc>
          <w:tcPr>
            <w:tcW w:w="1348" w:type="dxa"/>
            <w:tcBorders>
              <w:top w:val="nil"/>
              <w:left w:val="nil"/>
              <w:bottom w:val="single" w:color="auto" w:sz="8" w:space="0"/>
              <w:right w:val="single" w:color="auto" w:sz="8" w:space="0"/>
            </w:tcBorders>
            <w:shd w:val="clear" w:color="auto" w:fill="auto"/>
            <w:noWrap/>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10,000</w:t>
            </w:r>
          </w:p>
        </w:tc>
        <w:tc>
          <w:tcPr>
            <w:tcW w:w="1202" w:type="dxa"/>
            <w:tcBorders>
              <w:top w:val="nil"/>
              <w:left w:val="nil"/>
              <w:bottom w:val="single" w:color="auto" w:sz="8" w:space="0"/>
              <w:right w:val="double" w:color="auto" w:sz="6" w:space="0"/>
            </w:tcBorders>
            <w:shd w:val="clear" w:color="auto" w:fill="auto"/>
            <w:noWrap/>
            <w:vAlign w:val="center"/>
          </w:tcPr>
          <w:p>
            <w:pPr>
              <w:widowControl/>
              <w:autoSpaceDE/>
              <w:autoSpaceDN/>
              <w:ind w:firstLine="0" w:firstLineChars="0"/>
              <w:jc w:val="center"/>
              <w:rPr>
                <w:rFonts w:ascii="楷体" w:hAnsi="楷体" w:eastAsia="楷体" w:cs="宋体"/>
                <w:color w:val="000000"/>
                <w:kern w:val="0"/>
                <w:sz w:val="21"/>
                <w:szCs w:val="21"/>
              </w:rPr>
            </w:pPr>
          </w:p>
        </w:tc>
      </w:tr>
      <w:tr>
        <w:tblPrEx>
          <w:tblCellMar>
            <w:top w:w="0" w:type="dxa"/>
            <w:left w:w="108" w:type="dxa"/>
            <w:bottom w:w="0" w:type="dxa"/>
            <w:right w:w="108" w:type="dxa"/>
          </w:tblCellMar>
        </w:tblPrEx>
        <w:trPr>
          <w:trHeight w:val="285" w:hRule="atLeast"/>
          <w:jc w:val="center"/>
        </w:trPr>
        <w:tc>
          <w:tcPr>
            <w:tcW w:w="1461" w:type="dxa"/>
            <w:vMerge w:val="restart"/>
            <w:tcBorders>
              <w:top w:val="nil"/>
              <w:left w:val="double" w:color="auto" w:sz="6" w:space="0"/>
              <w:bottom w:val="single" w:color="000000" w:sz="8" w:space="0"/>
              <w:right w:val="single" w:color="auto" w:sz="8" w:space="0"/>
            </w:tcBorders>
            <w:shd w:val="clear" w:color="auto" w:fill="auto"/>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场站</w:t>
            </w:r>
          </w:p>
        </w:tc>
        <w:tc>
          <w:tcPr>
            <w:tcW w:w="1517" w:type="dxa"/>
            <w:tcBorders>
              <w:top w:val="nil"/>
              <w:left w:val="nil"/>
              <w:bottom w:val="single" w:color="auto" w:sz="8" w:space="0"/>
              <w:right w:val="single" w:color="auto" w:sz="8" w:space="0"/>
            </w:tcBorders>
            <w:shd w:val="clear" w:color="auto" w:fill="auto"/>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客运场站</w:t>
            </w:r>
          </w:p>
        </w:tc>
        <w:tc>
          <w:tcPr>
            <w:tcW w:w="1364" w:type="dxa"/>
            <w:tcBorders>
              <w:top w:val="nil"/>
              <w:left w:val="nil"/>
              <w:bottom w:val="single" w:color="auto" w:sz="8" w:space="0"/>
              <w:right w:val="single" w:color="auto" w:sz="8" w:space="0"/>
            </w:tcBorders>
            <w:shd w:val="clear" w:color="auto" w:fill="auto"/>
            <w:noWrap/>
            <w:vAlign w:val="center"/>
          </w:tcPr>
          <w:p>
            <w:pPr>
              <w:widowControl/>
              <w:autoSpaceDE/>
              <w:autoSpaceDN/>
              <w:ind w:firstLine="0" w:firstLineChars="0"/>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37,000</w:t>
            </w:r>
          </w:p>
        </w:tc>
        <w:tc>
          <w:tcPr>
            <w:tcW w:w="1613" w:type="dxa"/>
            <w:tcBorders>
              <w:top w:val="nil"/>
              <w:left w:val="nil"/>
              <w:bottom w:val="single" w:color="auto" w:sz="8" w:space="0"/>
              <w:right w:val="single" w:color="auto" w:sz="8" w:space="0"/>
            </w:tcBorders>
            <w:shd w:val="clear" w:color="auto" w:fill="auto"/>
            <w:noWrap/>
            <w:vAlign w:val="center"/>
          </w:tcPr>
          <w:p>
            <w:pPr>
              <w:widowControl/>
              <w:autoSpaceDE/>
              <w:autoSpaceDN/>
              <w:ind w:firstLine="0" w:firstLineChars="0"/>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2,000</w:t>
            </w:r>
          </w:p>
        </w:tc>
        <w:tc>
          <w:tcPr>
            <w:tcW w:w="1348" w:type="dxa"/>
            <w:tcBorders>
              <w:top w:val="nil"/>
              <w:left w:val="nil"/>
              <w:bottom w:val="single" w:color="auto" w:sz="8" w:space="0"/>
              <w:right w:val="single" w:color="auto" w:sz="8" w:space="0"/>
            </w:tcBorders>
            <w:shd w:val="clear" w:color="auto" w:fill="auto"/>
            <w:noWrap/>
            <w:vAlign w:val="center"/>
          </w:tcPr>
          <w:p>
            <w:pPr>
              <w:widowControl/>
              <w:autoSpaceDE/>
              <w:autoSpaceDN/>
              <w:ind w:firstLine="0" w:firstLineChars="0"/>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35,000</w:t>
            </w:r>
          </w:p>
        </w:tc>
        <w:tc>
          <w:tcPr>
            <w:tcW w:w="1202" w:type="dxa"/>
            <w:tcBorders>
              <w:top w:val="nil"/>
              <w:left w:val="nil"/>
              <w:bottom w:val="single" w:color="auto" w:sz="8" w:space="0"/>
              <w:right w:val="double" w:color="auto" w:sz="6" w:space="0"/>
            </w:tcBorders>
            <w:shd w:val="clear" w:color="auto" w:fill="auto"/>
            <w:noWrap/>
            <w:vAlign w:val="center"/>
          </w:tcPr>
          <w:p>
            <w:pPr>
              <w:widowControl/>
              <w:autoSpaceDE/>
              <w:autoSpaceDN/>
              <w:ind w:firstLine="0" w:firstLineChars="0"/>
              <w:jc w:val="center"/>
              <w:rPr>
                <w:rFonts w:ascii="楷体" w:hAnsi="楷体" w:eastAsia="楷体" w:cs="宋体"/>
                <w:color w:val="000000"/>
                <w:kern w:val="0"/>
                <w:sz w:val="21"/>
                <w:szCs w:val="21"/>
              </w:rPr>
            </w:pPr>
          </w:p>
        </w:tc>
      </w:tr>
      <w:tr>
        <w:tblPrEx>
          <w:tblCellMar>
            <w:top w:w="0" w:type="dxa"/>
            <w:left w:w="108" w:type="dxa"/>
            <w:bottom w:w="0" w:type="dxa"/>
            <w:right w:w="108" w:type="dxa"/>
          </w:tblCellMar>
        </w:tblPrEx>
        <w:trPr>
          <w:trHeight w:val="285" w:hRule="atLeast"/>
          <w:jc w:val="center"/>
        </w:trPr>
        <w:tc>
          <w:tcPr>
            <w:tcW w:w="1461" w:type="dxa"/>
            <w:vMerge w:val="continue"/>
            <w:tcBorders>
              <w:top w:val="nil"/>
              <w:left w:val="double" w:color="auto" w:sz="6" w:space="0"/>
              <w:bottom w:val="single" w:color="000000" w:sz="8" w:space="0"/>
              <w:right w:val="single" w:color="auto" w:sz="8" w:space="0"/>
            </w:tcBorders>
            <w:vAlign w:val="center"/>
          </w:tcPr>
          <w:p>
            <w:pPr>
              <w:widowControl/>
              <w:autoSpaceDE/>
              <w:autoSpaceDN/>
              <w:ind w:firstLine="0" w:firstLineChars="0"/>
              <w:jc w:val="center"/>
              <w:rPr>
                <w:rFonts w:ascii="楷体" w:hAnsi="楷体" w:eastAsia="楷体" w:cs="宋体"/>
                <w:color w:val="000000"/>
                <w:kern w:val="0"/>
                <w:sz w:val="21"/>
                <w:szCs w:val="21"/>
              </w:rPr>
            </w:pPr>
          </w:p>
        </w:tc>
        <w:tc>
          <w:tcPr>
            <w:tcW w:w="1517" w:type="dxa"/>
            <w:tcBorders>
              <w:top w:val="nil"/>
              <w:left w:val="nil"/>
              <w:bottom w:val="single" w:color="auto" w:sz="8" w:space="0"/>
              <w:right w:val="single" w:color="auto" w:sz="8" w:space="0"/>
            </w:tcBorders>
            <w:shd w:val="clear" w:color="auto" w:fill="auto"/>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物流基地</w:t>
            </w:r>
          </w:p>
        </w:tc>
        <w:tc>
          <w:tcPr>
            <w:tcW w:w="1364" w:type="dxa"/>
            <w:tcBorders>
              <w:top w:val="nil"/>
              <w:left w:val="nil"/>
              <w:bottom w:val="single" w:color="auto" w:sz="8" w:space="0"/>
              <w:right w:val="single" w:color="auto" w:sz="8" w:space="0"/>
            </w:tcBorders>
            <w:shd w:val="clear" w:color="auto" w:fill="auto"/>
            <w:noWrap/>
            <w:vAlign w:val="center"/>
          </w:tcPr>
          <w:p>
            <w:pPr>
              <w:widowControl/>
              <w:autoSpaceDE/>
              <w:autoSpaceDN/>
              <w:ind w:firstLine="0" w:firstLineChars="0"/>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130,000</w:t>
            </w:r>
          </w:p>
        </w:tc>
        <w:tc>
          <w:tcPr>
            <w:tcW w:w="1613" w:type="dxa"/>
            <w:tcBorders>
              <w:top w:val="nil"/>
              <w:left w:val="nil"/>
              <w:bottom w:val="single" w:color="auto" w:sz="8" w:space="0"/>
              <w:right w:val="single" w:color="auto" w:sz="8" w:space="0"/>
            </w:tcBorders>
            <w:shd w:val="clear" w:color="auto" w:fill="auto"/>
            <w:noWrap/>
            <w:vAlign w:val="center"/>
          </w:tcPr>
          <w:p>
            <w:pPr>
              <w:widowControl/>
              <w:autoSpaceDE/>
              <w:autoSpaceDN/>
              <w:ind w:firstLine="0" w:firstLineChars="0"/>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26,000</w:t>
            </w:r>
          </w:p>
        </w:tc>
        <w:tc>
          <w:tcPr>
            <w:tcW w:w="1348" w:type="dxa"/>
            <w:tcBorders>
              <w:top w:val="nil"/>
              <w:left w:val="nil"/>
              <w:bottom w:val="single" w:color="auto" w:sz="8" w:space="0"/>
              <w:right w:val="single" w:color="auto" w:sz="8" w:space="0"/>
            </w:tcBorders>
            <w:shd w:val="clear" w:color="auto" w:fill="auto"/>
            <w:noWrap/>
            <w:vAlign w:val="center"/>
          </w:tcPr>
          <w:p>
            <w:pPr>
              <w:widowControl/>
              <w:autoSpaceDE/>
              <w:autoSpaceDN/>
              <w:ind w:firstLine="0" w:firstLineChars="0"/>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39,000</w:t>
            </w:r>
          </w:p>
        </w:tc>
        <w:tc>
          <w:tcPr>
            <w:tcW w:w="1202" w:type="dxa"/>
            <w:tcBorders>
              <w:top w:val="nil"/>
              <w:left w:val="nil"/>
              <w:bottom w:val="single" w:color="auto" w:sz="8" w:space="0"/>
              <w:right w:val="double" w:color="auto" w:sz="6" w:space="0"/>
            </w:tcBorders>
            <w:shd w:val="clear" w:color="auto" w:fill="auto"/>
            <w:noWrap/>
            <w:vAlign w:val="center"/>
          </w:tcPr>
          <w:p>
            <w:pPr>
              <w:widowControl/>
              <w:autoSpaceDE/>
              <w:autoSpaceDN/>
              <w:ind w:firstLine="0" w:firstLineChars="0"/>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65,000</w:t>
            </w:r>
          </w:p>
        </w:tc>
      </w:tr>
      <w:tr>
        <w:tblPrEx>
          <w:tblCellMar>
            <w:top w:w="0" w:type="dxa"/>
            <w:left w:w="108" w:type="dxa"/>
            <w:bottom w:w="0" w:type="dxa"/>
            <w:right w:w="108" w:type="dxa"/>
          </w:tblCellMar>
        </w:tblPrEx>
        <w:trPr>
          <w:trHeight w:val="285" w:hRule="atLeast"/>
          <w:jc w:val="center"/>
        </w:trPr>
        <w:tc>
          <w:tcPr>
            <w:tcW w:w="1461" w:type="dxa"/>
            <w:vMerge w:val="continue"/>
            <w:tcBorders>
              <w:top w:val="nil"/>
              <w:left w:val="double" w:color="auto" w:sz="6" w:space="0"/>
              <w:bottom w:val="single" w:color="000000" w:sz="8" w:space="0"/>
              <w:right w:val="single" w:color="auto" w:sz="8" w:space="0"/>
            </w:tcBorders>
            <w:vAlign w:val="center"/>
          </w:tcPr>
          <w:p>
            <w:pPr>
              <w:widowControl/>
              <w:autoSpaceDE/>
              <w:autoSpaceDN/>
              <w:ind w:firstLine="0" w:firstLineChars="0"/>
              <w:jc w:val="center"/>
              <w:rPr>
                <w:rFonts w:ascii="楷体" w:hAnsi="楷体" w:eastAsia="楷体" w:cs="宋体"/>
                <w:color w:val="000000"/>
                <w:kern w:val="0"/>
                <w:sz w:val="21"/>
                <w:szCs w:val="21"/>
              </w:rPr>
            </w:pPr>
          </w:p>
        </w:tc>
        <w:tc>
          <w:tcPr>
            <w:tcW w:w="1517" w:type="dxa"/>
            <w:tcBorders>
              <w:top w:val="nil"/>
              <w:left w:val="nil"/>
              <w:bottom w:val="single" w:color="auto" w:sz="8" w:space="0"/>
              <w:right w:val="single" w:color="auto" w:sz="8" w:space="0"/>
            </w:tcBorders>
            <w:shd w:val="clear" w:color="auto" w:fill="auto"/>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小计</w:t>
            </w:r>
          </w:p>
        </w:tc>
        <w:tc>
          <w:tcPr>
            <w:tcW w:w="1364" w:type="dxa"/>
            <w:tcBorders>
              <w:top w:val="nil"/>
              <w:left w:val="nil"/>
              <w:bottom w:val="single" w:color="auto" w:sz="8" w:space="0"/>
              <w:right w:val="single" w:color="auto" w:sz="8" w:space="0"/>
            </w:tcBorders>
            <w:shd w:val="clear" w:color="auto" w:fill="auto"/>
            <w:noWrap/>
            <w:vAlign w:val="center"/>
          </w:tcPr>
          <w:p>
            <w:pPr>
              <w:widowControl/>
              <w:autoSpaceDE/>
              <w:autoSpaceDN/>
              <w:ind w:firstLine="0" w:firstLineChars="0"/>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167,000</w:t>
            </w:r>
          </w:p>
        </w:tc>
        <w:tc>
          <w:tcPr>
            <w:tcW w:w="1613" w:type="dxa"/>
            <w:tcBorders>
              <w:top w:val="nil"/>
              <w:left w:val="nil"/>
              <w:bottom w:val="single" w:color="auto" w:sz="8" w:space="0"/>
              <w:right w:val="single" w:color="auto" w:sz="8" w:space="0"/>
            </w:tcBorders>
            <w:shd w:val="clear" w:color="auto" w:fill="auto"/>
            <w:noWrap/>
            <w:vAlign w:val="center"/>
          </w:tcPr>
          <w:p>
            <w:pPr>
              <w:widowControl/>
              <w:autoSpaceDE/>
              <w:autoSpaceDN/>
              <w:ind w:firstLine="0" w:firstLineChars="0"/>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28,000</w:t>
            </w:r>
          </w:p>
        </w:tc>
        <w:tc>
          <w:tcPr>
            <w:tcW w:w="1348" w:type="dxa"/>
            <w:tcBorders>
              <w:top w:val="nil"/>
              <w:left w:val="nil"/>
              <w:bottom w:val="single" w:color="auto" w:sz="8" w:space="0"/>
              <w:right w:val="single" w:color="auto" w:sz="8" w:space="0"/>
            </w:tcBorders>
            <w:shd w:val="clear" w:color="auto" w:fill="auto"/>
            <w:noWrap/>
            <w:vAlign w:val="center"/>
          </w:tcPr>
          <w:p>
            <w:pPr>
              <w:widowControl/>
              <w:autoSpaceDE/>
              <w:autoSpaceDN/>
              <w:ind w:firstLine="0" w:firstLineChars="0"/>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74,000</w:t>
            </w:r>
          </w:p>
        </w:tc>
        <w:tc>
          <w:tcPr>
            <w:tcW w:w="1202" w:type="dxa"/>
            <w:tcBorders>
              <w:top w:val="nil"/>
              <w:left w:val="nil"/>
              <w:bottom w:val="single" w:color="auto" w:sz="8" w:space="0"/>
              <w:right w:val="double" w:color="auto" w:sz="6" w:space="0"/>
            </w:tcBorders>
            <w:shd w:val="clear" w:color="auto" w:fill="auto"/>
            <w:noWrap/>
            <w:vAlign w:val="center"/>
          </w:tcPr>
          <w:p>
            <w:pPr>
              <w:widowControl/>
              <w:autoSpaceDE/>
              <w:autoSpaceDN/>
              <w:ind w:firstLine="0" w:firstLineChars="0"/>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65,000</w:t>
            </w:r>
          </w:p>
        </w:tc>
      </w:tr>
      <w:tr>
        <w:tblPrEx>
          <w:tblCellMar>
            <w:top w:w="0" w:type="dxa"/>
            <w:left w:w="108" w:type="dxa"/>
            <w:bottom w:w="0" w:type="dxa"/>
            <w:right w:w="108" w:type="dxa"/>
          </w:tblCellMar>
        </w:tblPrEx>
        <w:trPr>
          <w:trHeight w:val="285" w:hRule="atLeast"/>
          <w:jc w:val="center"/>
        </w:trPr>
        <w:tc>
          <w:tcPr>
            <w:tcW w:w="2978" w:type="dxa"/>
            <w:gridSpan w:val="2"/>
            <w:tcBorders>
              <w:top w:val="single" w:color="auto" w:sz="8" w:space="0"/>
              <w:left w:val="double" w:color="auto" w:sz="6" w:space="0"/>
              <w:bottom w:val="single" w:color="auto" w:sz="8" w:space="0"/>
              <w:right w:val="single" w:color="000000" w:sz="8" w:space="0"/>
            </w:tcBorders>
            <w:shd w:val="clear" w:color="auto" w:fill="auto"/>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其他</w:t>
            </w:r>
          </w:p>
        </w:tc>
        <w:tc>
          <w:tcPr>
            <w:tcW w:w="1364" w:type="dxa"/>
            <w:tcBorders>
              <w:top w:val="nil"/>
              <w:left w:val="nil"/>
              <w:bottom w:val="single" w:color="auto" w:sz="8" w:space="0"/>
              <w:right w:val="single" w:color="auto" w:sz="8" w:space="0"/>
            </w:tcBorders>
            <w:shd w:val="clear" w:color="auto" w:fill="auto"/>
            <w:noWrap/>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2,500</w:t>
            </w:r>
          </w:p>
        </w:tc>
        <w:tc>
          <w:tcPr>
            <w:tcW w:w="1613" w:type="dxa"/>
            <w:tcBorders>
              <w:top w:val="nil"/>
              <w:left w:val="nil"/>
              <w:bottom w:val="single" w:color="auto" w:sz="8" w:space="0"/>
              <w:right w:val="single" w:color="auto" w:sz="8" w:space="0"/>
            </w:tcBorders>
            <w:shd w:val="clear" w:color="auto" w:fill="auto"/>
            <w:noWrap/>
            <w:vAlign w:val="center"/>
          </w:tcPr>
          <w:p>
            <w:pPr>
              <w:widowControl/>
              <w:autoSpaceDE/>
              <w:autoSpaceDN/>
              <w:ind w:firstLine="0" w:firstLineChars="0"/>
              <w:jc w:val="center"/>
              <w:rPr>
                <w:rFonts w:ascii="楷体" w:hAnsi="楷体" w:eastAsia="楷体" w:cs="宋体"/>
                <w:color w:val="000000"/>
                <w:kern w:val="0"/>
                <w:sz w:val="21"/>
                <w:szCs w:val="21"/>
              </w:rPr>
            </w:pPr>
          </w:p>
        </w:tc>
        <w:tc>
          <w:tcPr>
            <w:tcW w:w="1348" w:type="dxa"/>
            <w:tcBorders>
              <w:top w:val="nil"/>
              <w:left w:val="nil"/>
              <w:bottom w:val="single" w:color="auto" w:sz="8" w:space="0"/>
              <w:right w:val="single" w:color="auto" w:sz="8" w:space="0"/>
            </w:tcBorders>
            <w:shd w:val="clear" w:color="auto" w:fill="auto"/>
            <w:noWrap/>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2500</w:t>
            </w:r>
          </w:p>
        </w:tc>
        <w:tc>
          <w:tcPr>
            <w:tcW w:w="1202" w:type="dxa"/>
            <w:tcBorders>
              <w:top w:val="nil"/>
              <w:left w:val="nil"/>
              <w:bottom w:val="single" w:color="auto" w:sz="8" w:space="0"/>
              <w:right w:val="double" w:color="auto" w:sz="6" w:space="0"/>
            </w:tcBorders>
            <w:shd w:val="clear" w:color="auto" w:fill="auto"/>
            <w:noWrap/>
            <w:vAlign w:val="center"/>
          </w:tcPr>
          <w:p>
            <w:pPr>
              <w:widowControl/>
              <w:autoSpaceDE/>
              <w:autoSpaceDN/>
              <w:ind w:firstLine="0" w:firstLineChars="0"/>
              <w:jc w:val="center"/>
              <w:rPr>
                <w:rFonts w:ascii="楷体" w:hAnsi="楷体" w:eastAsia="楷体" w:cs="宋体"/>
                <w:color w:val="000000"/>
                <w:kern w:val="0"/>
                <w:sz w:val="21"/>
                <w:szCs w:val="21"/>
              </w:rPr>
            </w:pPr>
          </w:p>
        </w:tc>
      </w:tr>
      <w:tr>
        <w:tblPrEx>
          <w:tblCellMar>
            <w:top w:w="0" w:type="dxa"/>
            <w:left w:w="108" w:type="dxa"/>
            <w:bottom w:w="0" w:type="dxa"/>
            <w:right w:w="108" w:type="dxa"/>
          </w:tblCellMar>
        </w:tblPrEx>
        <w:trPr>
          <w:trHeight w:val="285" w:hRule="atLeast"/>
          <w:jc w:val="center"/>
        </w:trPr>
        <w:tc>
          <w:tcPr>
            <w:tcW w:w="2978" w:type="dxa"/>
            <w:gridSpan w:val="2"/>
            <w:tcBorders>
              <w:top w:val="single" w:color="auto" w:sz="8" w:space="0"/>
              <w:left w:val="double" w:color="auto" w:sz="6" w:space="0"/>
              <w:bottom w:val="double" w:color="auto" w:sz="6" w:space="0"/>
              <w:right w:val="single" w:color="000000" w:sz="8" w:space="0"/>
            </w:tcBorders>
            <w:shd w:val="clear" w:color="auto" w:fill="auto"/>
            <w:vAlign w:val="center"/>
          </w:tcPr>
          <w:p>
            <w:pPr>
              <w:widowControl/>
              <w:autoSpaceDE/>
              <w:autoSpaceDN/>
              <w:ind w:firstLine="0" w:firstLineChars="0"/>
              <w:jc w:val="center"/>
              <w:rPr>
                <w:rFonts w:ascii="楷体" w:hAnsi="楷体" w:eastAsia="楷体" w:cs="宋体"/>
                <w:color w:val="000000"/>
                <w:kern w:val="0"/>
                <w:sz w:val="21"/>
                <w:szCs w:val="21"/>
              </w:rPr>
            </w:pPr>
            <w:r>
              <w:rPr>
                <w:rFonts w:hint="eastAsia" w:ascii="楷体" w:hAnsi="楷体" w:eastAsia="楷体" w:cs="宋体"/>
                <w:color w:val="000000"/>
                <w:kern w:val="0"/>
                <w:sz w:val="21"/>
                <w:szCs w:val="21"/>
              </w:rPr>
              <w:t>合计</w:t>
            </w:r>
          </w:p>
        </w:tc>
        <w:tc>
          <w:tcPr>
            <w:tcW w:w="1364" w:type="dxa"/>
            <w:tcBorders>
              <w:top w:val="nil"/>
              <w:left w:val="nil"/>
              <w:bottom w:val="double" w:color="auto" w:sz="6" w:space="0"/>
              <w:right w:val="single" w:color="auto" w:sz="8" w:space="0"/>
            </w:tcBorders>
            <w:shd w:val="clear" w:color="auto" w:fill="auto"/>
            <w:noWrap/>
            <w:vAlign w:val="center"/>
          </w:tcPr>
          <w:p>
            <w:pPr>
              <w:widowControl/>
              <w:autoSpaceDE/>
              <w:autoSpaceDN/>
              <w:ind w:firstLine="0" w:firstLineChars="0"/>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2,480,000</w:t>
            </w:r>
          </w:p>
        </w:tc>
        <w:tc>
          <w:tcPr>
            <w:tcW w:w="1613" w:type="dxa"/>
            <w:tcBorders>
              <w:top w:val="nil"/>
              <w:left w:val="nil"/>
              <w:bottom w:val="double" w:color="auto" w:sz="6" w:space="0"/>
              <w:right w:val="single" w:color="auto" w:sz="8" w:space="0"/>
            </w:tcBorders>
            <w:shd w:val="clear" w:color="auto" w:fill="auto"/>
            <w:noWrap/>
            <w:vAlign w:val="center"/>
          </w:tcPr>
          <w:p>
            <w:pPr>
              <w:widowControl/>
              <w:autoSpaceDE/>
              <w:autoSpaceDN/>
              <w:ind w:firstLine="0" w:firstLineChars="0"/>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470,905</w:t>
            </w:r>
          </w:p>
        </w:tc>
        <w:tc>
          <w:tcPr>
            <w:tcW w:w="1348" w:type="dxa"/>
            <w:tcBorders>
              <w:top w:val="nil"/>
              <w:left w:val="nil"/>
              <w:bottom w:val="double" w:color="auto" w:sz="6" w:space="0"/>
              <w:right w:val="single" w:color="auto" w:sz="8" w:space="0"/>
            </w:tcBorders>
            <w:shd w:val="clear" w:color="auto" w:fill="auto"/>
            <w:noWrap/>
            <w:vAlign w:val="center"/>
          </w:tcPr>
          <w:p>
            <w:pPr>
              <w:widowControl/>
              <w:autoSpaceDE/>
              <w:autoSpaceDN/>
              <w:ind w:firstLine="0" w:firstLineChars="0"/>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1,211,443</w:t>
            </w:r>
          </w:p>
        </w:tc>
        <w:tc>
          <w:tcPr>
            <w:tcW w:w="1202" w:type="dxa"/>
            <w:tcBorders>
              <w:top w:val="nil"/>
              <w:left w:val="nil"/>
              <w:bottom w:val="double" w:color="auto" w:sz="6" w:space="0"/>
              <w:right w:val="double" w:color="auto" w:sz="6" w:space="0"/>
            </w:tcBorders>
            <w:shd w:val="clear" w:color="auto" w:fill="auto"/>
            <w:noWrap/>
            <w:vAlign w:val="center"/>
          </w:tcPr>
          <w:p>
            <w:pPr>
              <w:widowControl/>
              <w:autoSpaceDE/>
              <w:autoSpaceDN/>
              <w:ind w:firstLine="0" w:firstLineChars="0"/>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797,652</w:t>
            </w:r>
          </w:p>
        </w:tc>
      </w:tr>
    </w:tbl>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资金保障建议：</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结合溧水区特点，利用各项优惠政策，为交通基础设施建设提供可靠的资金来源。同时加快推进交通投资储备土地融资进度，做大、做强交通投资平台，促进资源变现，为交通建设注入充裕资金。</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1、积极争取部省级资金投入</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充分研究国家和省、市交通部门有关交通发展的扶持政策，争取省、市级加大资金投入。</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2、加大地方政府对交通运输的投入</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加大区级财政投入力度，完善财政资金保障制度。对于公路养护、农村公路建设、城市公交等公益性项目的资金投入建议纳入区级公共财政体系，统筹安排，重点扶持。</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3、推进多元化筹资机制创新</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以更加开放的态度利用好现有筹资渠道，积极探索新的融资方式（如PPP项目），优化资金组合，充分发挥社会资金的积极作用；对经济效益相对较好、有一定偿还能力的交通基础设施，积极争取民间资本和外商投资，减轻政府筹资压力。</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4、规范政府举债融资行为</w:t>
      </w:r>
    </w:p>
    <w:p>
      <w:pPr>
        <w:spacing w:afterLines="50"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规范交通运输政府举债融资行为，建立以政府债券为主体的交通运输公益性项目举债融资机制，化解债务风险。</w:t>
      </w:r>
    </w:p>
    <w:p>
      <w:pPr>
        <w:pBdr>
          <w:top w:val="single" w:color="auto" w:sz="4" w:space="1"/>
          <w:left w:val="single" w:color="auto" w:sz="4" w:space="4"/>
          <w:bottom w:val="single" w:color="auto" w:sz="4" w:space="1"/>
          <w:right w:val="single" w:color="auto" w:sz="4" w:space="4"/>
        </w:pBdr>
        <w:shd w:val="clear" w:color="auto" w:fill="F2F2F2"/>
        <w:spacing w:line="640" w:lineRule="exact"/>
        <w:ind w:firstLine="159" w:firstLineChars="66"/>
        <w:jc w:val="center"/>
        <w:rPr>
          <w:rFonts w:ascii="Times New Roman" w:hAnsi="Times New Roman" w:eastAsia="楷体"/>
          <w:b/>
          <w:bCs/>
          <w:kern w:val="4"/>
          <w:sz w:val="24"/>
        </w:rPr>
      </w:pPr>
      <w:r>
        <w:rPr>
          <w:rFonts w:ascii="Times New Roman" w:hAnsi="Times New Roman" w:eastAsia="楷体"/>
          <w:b/>
          <w:bCs/>
          <w:kern w:val="4"/>
          <w:sz w:val="24"/>
        </w:rPr>
        <w:t>【专栏：“十三五”资金保障措施建议】</w:t>
      </w:r>
    </w:p>
    <w:p>
      <w:pPr>
        <w:widowControl/>
        <w:pBdr>
          <w:top w:val="single" w:color="auto" w:sz="4" w:space="1"/>
          <w:left w:val="single" w:color="auto" w:sz="4" w:space="4"/>
          <w:bottom w:val="single" w:color="auto" w:sz="4" w:space="1"/>
          <w:right w:val="single" w:color="auto" w:sz="4" w:space="4"/>
        </w:pBdr>
        <w:shd w:val="clear" w:color="auto" w:fill="F2F2F2"/>
        <w:autoSpaceDE/>
        <w:autoSpaceDN/>
        <w:spacing w:line="360" w:lineRule="auto"/>
        <w:ind w:firstLine="420"/>
        <w:rPr>
          <w:rFonts w:ascii="Times New Roman" w:hAnsi="Times New Roman" w:eastAsia="楷体"/>
          <w:bCs/>
          <w:kern w:val="4"/>
          <w:sz w:val="21"/>
          <w:szCs w:val="21"/>
        </w:rPr>
      </w:pPr>
      <w:r>
        <w:rPr>
          <w:rFonts w:ascii="Times New Roman" w:hAnsi="Times New Roman" w:eastAsia="楷体"/>
          <w:bCs/>
          <w:kern w:val="4"/>
          <w:sz w:val="21"/>
          <w:szCs w:val="21"/>
        </w:rPr>
        <w:t>水运方面：进一步加大对内河水运建设、维护和水上应急保障的投入，每年安排相应的财政资金用于内河水运建设。</w:t>
      </w:r>
    </w:p>
    <w:p>
      <w:pPr>
        <w:widowControl/>
        <w:pBdr>
          <w:top w:val="single" w:color="auto" w:sz="4" w:space="1"/>
          <w:left w:val="single" w:color="auto" w:sz="4" w:space="4"/>
          <w:bottom w:val="single" w:color="auto" w:sz="4" w:space="1"/>
          <w:right w:val="single" w:color="auto" w:sz="4" w:space="4"/>
        </w:pBdr>
        <w:shd w:val="clear" w:color="auto" w:fill="F2F2F2"/>
        <w:autoSpaceDE/>
        <w:autoSpaceDN/>
        <w:spacing w:line="360" w:lineRule="auto"/>
        <w:ind w:firstLine="420"/>
        <w:rPr>
          <w:rFonts w:ascii="Times New Roman" w:hAnsi="Times New Roman" w:eastAsia="楷体"/>
          <w:bCs/>
          <w:kern w:val="4"/>
          <w:sz w:val="21"/>
          <w:szCs w:val="21"/>
        </w:rPr>
      </w:pPr>
      <w:r>
        <w:rPr>
          <w:rFonts w:ascii="Times New Roman" w:hAnsi="Times New Roman" w:eastAsia="楷体"/>
          <w:bCs/>
          <w:kern w:val="4"/>
          <w:sz w:val="21"/>
          <w:szCs w:val="21"/>
        </w:rPr>
        <w:t>公路方面：依据《省政府关于进一步完善政策促进普通公路持续健康发展的实施意见》相关要求，加快构建以财政投入为主的普通公路建设投融资机制，加大普通公路养护投入。</w:t>
      </w:r>
    </w:p>
    <w:p>
      <w:pPr>
        <w:widowControl/>
        <w:pBdr>
          <w:top w:val="single" w:color="auto" w:sz="4" w:space="1"/>
          <w:left w:val="single" w:color="auto" w:sz="4" w:space="4"/>
          <w:bottom w:val="single" w:color="auto" w:sz="4" w:space="1"/>
          <w:right w:val="single" w:color="auto" w:sz="4" w:space="4"/>
        </w:pBdr>
        <w:shd w:val="clear" w:color="auto" w:fill="F2F2F2"/>
        <w:autoSpaceDE/>
        <w:autoSpaceDN/>
        <w:spacing w:line="360" w:lineRule="auto"/>
        <w:ind w:firstLine="420"/>
        <w:rPr>
          <w:rFonts w:ascii="Times New Roman" w:hAnsi="Times New Roman" w:eastAsia="楷体"/>
          <w:bCs/>
          <w:kern w:val="4"/>
          <w:sz w:val="21"/>
          <w:szCs w:val="21"/>
        </w:rPr>
      </w:pPr>
      <w:r>
        <w:rPr>
          <w:rFonts w:ascii="Times New Roman" w:hAnsi="Times New Roman" w:eastAsia="楷体"/>
          <w:bCs/>
          <w:kern w:val="4"/>
          <w:sz w:val="21"/>
          <w:szCs w:val="21"/>
        </w:rPr>
        <w:t>货运运输方面：加大对运输服务重点扶持项目的支持力度，对甩挂运输、多式联运、集装箱运输等建立区级专项资金，引导现代化运输服务发展。积极健全完善绿色循环低碳交通发展的财政资金保障制度。</w:t>
      </w:r>
    </w:p>
    <w:p>
      <w:pPr>
        <w:widowControl/>
        <w:pBdr>
          <w:top w:val="single" w:color="auto" w:sz="4" w:space="1"/>
          <w:left w:val="single" w:color="auto" w:sz="4" w:space="4"/>
          <w:bottom w:val="single" w:color="auto" w:sz="4" w:space="1"/>
          <w:right w:val="single" w:color="auto" w:sz="4" w:space="4"/>
        </w:pBdr>
        <w:shd w:val="clear" w:color="auto" w:fill="F2F2F2"/>
        <w:autoSpaceDE/>
        <w:autoSpaceDN/>
        <w:spacing w:line="360" w:lineRule="auto"/>
        <w:ind w:firstLine="420"/>
        <w:rPr>
          <w:rFonts w:ascii="Times New Roman" w:hAnsi="Times New Roman" w:eastAsia="楷体"/>
          <w:bCs/>
          <w:kern w:val="4"/>
          <w:sz w:val="21"/>
          <w:szCs w:val="21"/>
        </w:rPr>
      </w:pPr>
      <w:r>
        <w:rPr>
          <w:rFonts w:ascii="Times New Roman" w:hAnsi="Times New Roman" w:eastAsia="楷体"/>
          <w:bCs/>
          <w:kern w:val="4"/>
          <w:sz w:val="21"/>
          <w:szCs w:val="21"/>
        </w:rPr>
        <w:t>城乡一体化客运建设方面：根据《江苏省省级城乡客运一体化建设专项补助资金管理办法》，积极申请专项用于支持镇村公交建设性项目和城市公共交通发展性项目等城乡客运一体化项目建设的资金补助，加快推进城乡一体化客运建设。</w:t>
      </w:r>
    </w:p>
    <w:p>
      <w:pPr>
        <w:widowControl/>
        <w:pBdr>
          <w:top w:val="single" w:color="auto" w:sz="4" w:space="1"/>
          <w:left w:val="single" w:color="auto" w:sz="4" w:space="4"/>
          <w:bottom w:val="single" w:color="auto" w:sz="4" w:space="1"/>
          <w:right w:val="single" w:color="auto" w:sz="4" w:space="4"/>
        </w:pBdr>
        <w:shd w:val="clear" w:color="auto" w:fill="F2F2F2"/>
        <w:autoSpaceDE/>
        <w:autoSpaceDN/>
        <w:spacing w:line="360" w:lineRule="auto"/>
        <w:ind w:firstLine="420"/>
        <w:rPr>
          <w:rFonts w:ascii="Times New Roman" w:hAnsi="Times New Roman" w:eastAsia="楷体"/>
          <w:bCs/>
          <w:kern w:val="4"/>
          <w:sz w:val="21"/>
          <w:szCs w:val="21"/>
        </w:rPr>
      </w:pPr>
      <w:r>
        <w:rPr>
          <w:rFonts w:ascii="Times New Roman" w:hAnsi="Times New Roman" w:eastAsia="楷体"/>
          <w:bCs/>
          <w:kern w:val="4"/>
          <w:sz w:val="21"/>
          <w:szCs w:val="21"/>
        </w:rPr>
        <w:t>科研方面：积极探索交通运输信息资源社会化有偿增值服务的模式和机制，加快建立多渠道、多层次、多元化的交通科技投入机制。</w:t>
      </w:r>
    </w:p>
    <w:p>
      <w:pPr>
        <w:widowControl/>
        <w:pBdr>
          <w:top w:val="single" w:color="auto" w:sz="4" w:space="1"/>
          <w:left w:val="single" w:color="auto" w:sz="4" w:space="4"/>
          <w:bottom w:val="single" w:color="auto" w:sz="4" w:space="1"/>
          <w:right w:val="single" w:color="auto" w:sz="4" w:space="4"/>
        </w:pBdr>
        <w:shd w:val="clear" w:color="auto" w:fill="F2F2F2"/>
        <w:autoSpaceDE/>
        <w:autoSpaceDN/>
        <w:spacing w:line="360" w:lineRule="auto"/>
        <w:ind w:firstLine="420"/>
        <w:rPr>
          <w:rFonts w:ascii="Times New Roman" w:hAnsi="Times New Roman" w:eastAsia="楷体"/>
          <w:bCs/>
          <w:kern w:val="4"/>
          <w:sz w:val="21"/>
          <w:szCs w:val="21"/>
        </w:rPr>
      </w:pPr>
      <w:r>
        <w:rPr>
          <w:rFonts w:ascii="Times New Roman" w:hAnsi="Times New Roman" w:eastAsia="楷体"/>
          <w:bCs/>
          <w:kern w:val="4"/>
          <w:sz w:val="21"/>
          <w:szCs w:val="21"/>
        </w:rPr>
        <w:t>信息化方面：加大交通信息化专项资金投入，通过政企合作吸纳社会资本参与交通信息服务体系建设。</w:t>
      </w:r>
    </w:p>
    <w:p>
      <w:pPr>
        <w:spacing w:line="960" w:lineRule="exact"/>
        <w:ind w:firstLine="0" w:firstLineChars="0"/>
        <w:outlineLvl w:val="1"/>
        <w:rPr>
          <w:rFonts w:ascii="Times New Roman" w:hAnsi="Times New Roman" w:eastAsia="黑体"/>
          <w:kern w:val="4"/>
          <w:sz w:val="32"/>
          <w:szCs w:val="28"/>
        </w:rPr>
      </w:pPr>
      <w:bookmarkStart w:id="76" w:name="_Toc438123218"/>
      <w:bookmarkStart w:id="77" w:name="_Toc429487902"/>
      <w:r>
        <w:rPr>
          <w:rFonts w:ascii="Times New Roman" w:hAnsi="Times New Roman" w:eastAsia="黑体"/>
          <w:kern w:val="4"/>
          <w:sz w:val="32"/>
          <w:szCs w:val="28"/>
        </w:rPr>
        <w:t>5.3强化用地保障</w:t>
      </w:r>
      <w:bookmarkEnd w:id="76"/>
      <w:bookmarkEnd w:id="77"/>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经测算，完成“十三五”规划的高速公路、普通干线公路、</w:t>
      </w:r>
      <w:r>
        <w:rPr>
          <w:rFonts w:hint="eastAsia" w:ascii="Times New Roman" w:hAnsi="Times New Roman" w:eastAsia="仿宋_GB2312"/>
          <w:kern w:val="4"/>
          <w:sz w:val="30"/>
          <w:szCs w:val="30"/>
        </w:rPr>
        <w:t>轨道、水运</w:t>
      </w:r>
      <w:r>
        <w:rPr>
          <w:rFonts w:ascii="Times New Roman" w:hAnsi="Times New Roman" w:eastAsia="仿宋_GB2312"/>
          <w:kern w:val="4"/>
          <w:sz w:val="30"/>
          <w:szCs w:val="30"/>
        </w:rPr>
        <w:t>、</w:t>
      </w:r>
      <w:r>
        <w:rPr>
          <w:rFonts w:hint="eastAsia" w:ascii="Times New Roman" w:hAnsi="Times New Roman" w:eastAsia="仿宋_GB2312"/>
          <w:kern w:val="4"/>
          <w:sz w:val="30"/>
          <w:szCs w:val="30"/>
        </w:rPr>
        <w:t>通用机场</w:t>
      </w:r>
      <w:r>
        <w:rPr>
          <w:rFonts w:ascii="Times New Roman" w:hAnsi="Times New Roman" w:eastAsia="仿宋_GB2312"/>
          <w:kern w:val="4"/>
          <w:sz w:val="30"/>
          <w:szCs w:val="30"/>
        </w:rPr>
        <w:t>、客货运场站等重点项目建设，新增用地需求约为15470亩。具体如下表所示：</w:t>
      </w:r>
    </w:p>
    <w:p>
      <w:pPr>
        <w:spacing w:line="560" w:lineRule="exact"/>
        <w:ind w:firstLine="600"/>
        <w:rPr>
          <w:rFonts w:ascii="Times New Roman" w:hAnsi="Times New Roman" w:eastAsia="仿宋_GB2312"/>
          <w:kern w:val="4"/>
          <w:sz w:val="30"/>
          <w:szCs w:val="30"/>
        </w:rPr>
      </w:pPr>
    </w:p>
    <w:p>
      <w:pPr>
        <w:spacing w:line="560" w:lineRule="exact"/>
        <w:ind w:firstLine="170" w:firstLineChars="71"/>
        <w:jc w:val="center"/>
        <w:rPr>
          <w:rFonts w:ascii="Times New Roman" w:hAnsi="Times New Roman" w:eastAsia="黑体"/>
          <w:bCs/>
          <w:kern w:val="4"/>
          <w:sz w:val="24"/>
        </w:rPr>
      </w:pPr>
      <w:r>
        <w:rPr>
          <w:rFonts w:ascii="Times New Roman" w:hAnsi="Times New Roman" w:eastAsia="黑体"/>
          <w:bCs/>
          <w:kern w:val="4"/>
          <w:sz w:val="24"/>
        </w:rPr>
        <w:t>表5-2   “十三五”重点交通建设项目土地需求估算</w:t>
      </w:r>
    </w:p>
    <w:tbl>
      <w:tblPr>
        <w:tblStyle w:val="30"/>
        <w:tblW w:w="850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9"/>
        <w:gridCol w:w="3009"/>
        <w:gridCol w:w="3117"/>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379" w:type="dxa"/>
            <w:tcBorders>
              <w:top w:val="double" w:color="auto" w:sz="4" w:space="0"/>
            </w:tcBorders>
            <w:vAlign w:val="center"/>
          </w:tcPr>
          <w:p>
            <w:pPr>
              <w:widowControl/>
              <w:ind w:firstLine="480"/>
              <w:jc w:val="center"/>
              <w:rPr>
                <w:rFonts w:ascii="Times New Roman" w:hAnsi="Times New Roman" w:eastAsia="楷体"/>
                <w:b/>
                <w:kern w:val="4"/>
                <w:sz w:val="24"/>
              </w:rPr>
            </w:pPr>
            <w:r>
              <w:rPr>
                <w:rFonts w:ascii="Times New Roman" w:hAnsi="Times New Roman" w:eastAsia="楷体"/>
                <w:b/>
                <w:kern w:val="4"/>
                <w:sz w:val="24"/>
              </w:rPr>
              <w:t>序号</w:t>
            </w:r>
          </w:p>
        </w:tc>
        <w:tc>
          <w:tcPr>
            <w:tcW w:w="3009" w:type="dxa"/>
            <w:tcBorders>
              <w:top w:val="double" w:color="auto" w:sz="4" w:space="0"/>
            </w:tcBorders>
            <w:vAlign w:val="center"/>
          </w:tcPr>
          <w:p>
            <w:pPr>
              <w:widowControl/>
              <w:ind w:firstLine="480"/>
              <w:jc w:val="center"/>
              <w:rPr>
                <w:rFonts w:ascii="Times New Roman" w:hAnsi="Times New Roman" w:eastAsia="楷体"/>
                <w:b/>
                <w:kern w:val="4"/>
                <w:sz w:val="24"/>
              </w:rPr>
            </w:pPr>
            <w:r>
              <w:rPr>
                <w:rFonts w:ascii="Times New Roman" w:hAnsi="Times New Roman" w:eastAsia="楷体"/>
                <w:b/>
                <w:kern w:val="4"/>
                <w:sz w:val="24"/>
              </w:rPr>
              <w:t>项目名称</w:t>
            </w:r>
          </w:p>
        </w:tc>
        <w:tc>
          <w:tcPr>
            <w:tcW w:w="3117" w:type="dxa"/>
            <w:tcBorders>
              <w:top w:val="double" w:color="auto" w:sz="4" w:space="0"/>
            </w:tcBorders>
            <w:vAlign w:val="center"/>
          </w:tcPr>
          <w:p>
            <w:pPr>
              <w:widowControl/>
              <w:ind w:firstLine="480"/>
              <w:jc w:val="center"/>
              <w:rPr>
                <w:rFonts w:ascii="Times New Roman" w:hAnsi="Times New Roman" w:eastAsia="楷体"/>
                <w:b/>
                <w:kern w:val="4"/>
                <w:sz w:val="24"/>
              </w:rPr>
            </w:pPr>
            <w:r>
              <w:rPr>
                <w:rFonts w:ascii="Times New Roman" w:hAnsi="Times New Roman" w:eastAsia="楷体"/>
                <w:b/>
                <w:kern w:val="4"/>
                <w:sz w:val="24"/>
              </w:rPr>
              <w:t>占地面积（亩）</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79" w:type="dxa"/>
            <w:vMerge w:val="restart"/>
            <w:vAlign w:val="center"/>
          </w:tcPr>
          <w:p>
            <w:pPr>
              <w:widowControl/>
              <w:ind w:firstLine="480"/>
              <w:jc w:val="center"/>
              <w:rPr>
                <w:rFonts w:ascii="Times New Roman" w:hAnsi="Times New Roman" w:eastAsia="楷体"/>
                <w:kern w:val="4"/>
                <w:sz w:val="24"/>
              </w:rPr>
            </w:pPr>
            <w:r>
              <w:rPr>
                <w:rFonts w:ascii="Times New Roman" w:hAnsi="Times New Roman" w:eastAsia="楷体"/>
                <w:kern w:val="4"/>
                <w:sz w:val="24"/>
              </w:rPr>
              <w:t>公路</w:t>
            </w:r>
          </w:p>
        </w:tc>
        <w:tc>
          <w:tcPr>
            <w:tcW w:w="3009" w:type="dxa"/>
            <w:vAlign w:val="center"/>
          </w:tcPr>
          <w:p>
            <w:pPr>
              <w:widowControl/>
              <w:ind w:firstLine="480"/>
              <w:jc w:val="center"/>
              <w:rPr>
                <w:rFonts w:ascii="Times New Roman" w:hAnsi="Times New Roman" w:eastAsia="楷体"/>
                <w:kern w:val="4"/>
                <w:sz w:val="24"/>
              </w:rPr>
            </w:pPr>
            <w:r>
              <w:rPr>
                <w:rFonts w:ascii="Times New Roman" w:hAnsi="Times New Roman" w:eastAsia="楷体"/>
                <w:kern w:val="4"/>
                <w:sz w:val="24"/>
              </w:rPr>
              <w:t>高速公路</w:t>
            </w:r>
          </w:p>
        </w:tc>
        <w:tc>
          <w:tcPr>
            <w:tcW w:w="3117" w:type="dxa"/>
            <w:noWrap/>
            <w:vAlign w:val="center"/>
          </w:tcPr>
          <w:p>
            <w:pPr>
              <w:widowControl/>
              <w:ind w:firstLine="440"/>
              <w:jc w:val="center"/>
              <w:rPr>
                <w:rFonts w:ascii="Times New Roman" w:hAnsi="Times New Roman" w:eastAsia="楷体"/>
                <w:kern w:val="4"/>
                <w:sz w:val="22"/>
                <w:szCs w:val="22"/>
              </w:rPr>
            </w:pPr>
            <w:r>
              <w:rPr>
                <w:rFonts w:ascii="Times New Roman" w:hAnsi="Times New Roman" w:eastAsia="楷体"/>
                <w:kern w:val="4"/>
                <w:sz w:val="22"/>
                <w:szCs w:val="22"/>
              </w:rPr>
              <w:t>180</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79" w:type="dxa"/>
            <w:vMerge w:val="continue"/>
            <w:vAlign w:val="center"/>
          </w:tcPr>
          <w:p>
            <w:pPr>
              <w:widowControl/>
              <w:ind w:firstLine="480"/>
              <w:jc w:val="center"/>
              <w:rPr>
                <w:rFonts w:ascii="Times New Roman" w:hAnsi="Times New Roman" w:eastAsia="楷体"/>
                <w:kern w:val="4"/>
                <w:sz w:val="24"/>
              </w:rPr>
            </w:pPr>
          </w:p>
        </w:tc>
        <w:tc>
          <w:tcPr>
            <w:tcW w:w="3009" w:type="dxa"/>
            <w:vAlign w:val="center"/>
          </w:tcPr>
          <w:p>
            <w:pPr>
              <w:widowControl/>
              <w:ind w:firstLine="480"/>
              <w:jc w:val="center"/>
              <w:rPr>
                <w:rFonts w:ascii="Times New Roman" w:hAnsi="Times New Roman" w:eastAsia="楷体"/>
                <w:kern w:val="4"/>
                <w:sz w:val="24"/>
              </w:rPr>
            </w:pPr>
            <w:r>
              <w:rPr>
                <w:rFonts w:ascii="Times New Roman" w:hAnsi="Times New Roman" w:eastAsia="楷体"/>
                <w:kern w:val="4"/>
                <w:sz w:val="24"/>
              </w:rPr>
              <w:t>国省干线</w:t>
            </w:r>
          </w:p>
        </w:tc>
        <w:tc>
          <w:tcPr>
            <w:tcW w:w="3117" w:type="dxa"/>
            <w:noWrap/>
            <w:vAlign w:val="center"/>
          </w:tcPr>
          <w:p>
            <w:pPr>
              <w:widowControl/>
              <w:ind w:firstLine="440"/>
              <w:jc w:val="center"/>
              <w:rPr>
                <w:rFonts w:ascii="Times New Roman" w:hAnsi="Times New Roman" w:eastAsia="楷体"/>
                <w:kern w:val="4"/>
                <w:sz w:val="22"/>
                <w:szCs w:val="22"/>
              </w:rPr>
            </w:pPr>
            <w:r>
              <w:rPr>
                <w:rFonts w:ascii="Times New Roman" w:hAnsi="Times New Roman" w:eastAsia="楷体"/>
                <w:kern w:val="4"/>
                <w:sz w:val="22"/>
                <w:szCs w:val="22"/>
              </w:rPr>
              <w:t>4167</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79" w:type="dxa"/>
            <w:vMerge w:val="continue"/>
            <w:vAlign w:val="center"/>
          </w:tcPr>
          <w:p>
            <w:pPr>
              <w:widowControl/>
              <w:ind w:firstLine="480"/>
              <w:jc w:val="center"/>
              <w:rPr>
                <w:rFonts w:ascii="Times New Roman" w:hAnsi="Times New Roman" w:eastAsia="楷体"/>
                <w:kern w:val="4"/>
                <w:sz w:val="24"/>
              </w:rPr>
            </w:pPr>
          </w:p>
        </w:tc>
        <w:tc>
          <w:tcPr>
            <w:tcW w:w="3009" w:type="dxa"/>
            <w:vAlign w:val="center"/>
          </w:tcPr>
          <w:p>
            <w:pPr>
              <w:widowControl/>
              <w:ind w:firstLine="480"/>
              <w:jc w:val="center"/>
              <w:rPr>
                <w:rFonts w:ascii="Times New Roman" w:hAnsi="Times New Roman" w:eastAsia="楷体"/>
                <w:kern w:val="4"/>
                <w:sz w:val="24"/>
              </w:rPr>
            </w:pPr>
            <w:r>
              <w:rPr>
                <w:rFonts w:ascii="Times New Roman" w:hAnsi="Times New Roman" w:eastAsia="楷体"/>
                <w:kern w:val="4"/>
                <w:sz w:val="24"/>
              </w:rPr>
              <w:t>路网连接公路</w:t>
            </w:r>
          </w:p>
        </w:tc>
        <w:tc>
          <w:tcPr>
            <w:tcW w:w="3117" w:type="dxa"/>
            <w:noWrap/>
            <w:vAlign w:val="center"/>
          </w:tcPr>
          <w:p>
            <w:pPr>
              <w:widowControl/>
              <w:ind w:firstLine="440"/>
              <w:jc w:val="center"/>
              <w:rPr>
                <w:rFonts w:ascii="Times New Roman" w:hAnsi="Times New Roman" w:eastAsia="楷体"/>
                <w:kern w:val="4"/>
                <w:sz w:val="22"/>
                <w:szCs w:val="22"/>
              </w:rPr>
            </w:pPr>
            <w:r>
              <w:rPr>
                <w:rFonts w:ascii="Times New Roman" w:hAnsi="Times New Roman" w:eastAsia="楷体"/>
                <w:kern w:val="4"/>
                <w:sz w:val="22"/>
                <w:szCs w:val="22"/>
              </w:rPr>
              <w:t>5360</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79" w:type="dxa"/>
            <w:vMerge w:val="continue"/>
            <w:vAlign w:val="center"/>
          </w:tcPr>
          <w:p>
            <w:pPr>
              <w:widowControl/>
              <w:ind w:firstLine="480"/>
              <w:jc w:val="center"/>
              <w:rPr>
                <w:rFonts w:ascii="Times New Roman" w:hAnsi="Times New Roman" w:eastAsia="楷体"/>
                <w:kern w:val="4"/>
                <w:sz w:val="24"/>
              </w:rPr>
            </w:pPr>
          </w:p>
        </w:tc>
        <w:tc>
          <w:tcPr>
            <w:tcW w:w="3009" w:type="dxa"/>
            <w:vAlign w:val="center"/>
          </w:tcPr>
          <w:p>
            <w:pPr>
              <w:widowControl/>
              <w:ind w:firstLine="480"/>
              <w:jc w:val="center"/>
              <w:rPr>
                <w:rFonts w:ascii="Times New Roman" w:hAnsi="Times New Roman" w:eastAsia="楷体"/>
                <w:kern w:val="4"/>
                <w:sz w:val="24"/>
              </w:rPr>
            </w:pPr>
            <w:r>
              <w:rPr>
                <w:rFonts w:ascii="Times New Roman" w:hAnsi="Times New Roman" w:eastAsia="楷体"/>
                <w:kern w:val="4"/>
                <w:sz w:val="24"/>
              </w:rPr>
              <w:t>农村公路</w:t>
            </w:r>
          </w:p>
        </w:tc>
        <w:tc>
          <w:tcPr>
            <w:tcW w:w="3117" w:type="dxa"/>
            <w:noWrap/>
            <w:vAlign w:val="center"/>
          </w:tcPr>
          <w:p>
            <w:pPr>
              <w:widowControl/>
              <w:ind w:firstLine="440"/>
              <w:jc w:val="center"/>
              <w:rPr>
                <w:rFonts w:ascii="Times New Roman" w:hAnsi="Times New Roman" w:eastAsia="楷体"/>
                <w:kern w:val="4"/>
                <w:sz w:val="22"/>
                <w:szCs w:val="22"/>
              </w:rPr>
            </w:pPr>
            <w:r>
              <w:rPr>
                <w:rFonts w:ascii="Times New Roman" w:hAnsi="Times New Roman" w:eastAsia="楷体"/>
                <w:kern w:val="4"/>
                <w:sz w:val="22"/>
                <w:szCs w:val="22"/>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79" w:type="dxa"/>
            <w:vMerge w:val="continue"/>
            <w:vAlign w:val="center"/>
          </w:tcPr>
          <w:p>
            <w:pPr>
              <w:widowControl/>
              <w:ind w:firstLine="480"/>
              <w:jc w:val="center"/>
              <w:rPr>
                <w:rFonts w:ascii="Times New Roman" w:hAnsi="Times New Roman" w:eastAsia="楷体"/>
                <w:kern w:val="4"/>
                <w:sz w:val="24"/>
              </w:rPr>
            </w:pPr>
          </w:p>
        </w:tc>
        <w:tc>
          <w:tcPr>
            <w:tcW w:w="3009" w:type="dxa"/>
            <w:vAlign w:val="center"/>
          </w:tcPr>
          <w:p>
            <w:pPr>
              <w:widowControl/>
              <w:ind w:firstLine="480"/>
              <w:jc w:val="center"/>
              <w:rPr>
                <w:rFonts w:ascii="Times New Roman" w:hAnsi="Times New Roman" w:eastAsia="楷体"/>
                <w:kern w:val="4"/>
                <w:sz w:val="24"/>
              </w:rPr>
            </w:pPr>
            <w:r>
              <w:rPr>
                <w:rFonts w:ascii="Times New Roman" w:hAnsi="Times New Roman" w:eastAsia="楷体"/>
                <w:kern w:val="4"/>
                <w:sz w:val="24"/>
              </w:rPr>
              <w:t>小计</w:t>
            </w:r>
          </w:p>
        </w:tc>
        <w:tc>
          <w:tcPr>
            <w:tcW w:w="3117" w:type="dxa"/>
            <w:noWrap/>
            <w:vAlign w:val="center"/>
          </w:tcPr>
          <w:p>
            <w:pPr>
              <w:widowControl/>
              <w:ind w:firstLine="440"/>
              <w:jc w:val="center"/>
              <w:rPr>
                <w:rFonts w:ascii="Times New Roman" w:hAnsi="Times New Roman" w:eastAsia="楷体"/>
                <w:kern w:val="4"/>
                <w:sz w:val="22"/>
                <w:szCs w:val="22"/>
              </w:rPr>
            </w:pPr>
            <w:r>
              <w:rPr>
                <w:rFonts w:ascii="Times New Roman" w:hAnsi="Times New Roman" w:eastAsia="楷体"/>
                <w:kern w:val="4"/>
                <w:sz w:val="22"/>
                <w:szCs w:val="22"/>
              </w:rPr>
              <w:t>9707</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88" w:type="dxa"/>
            <w:gridSpan w:val="2"/>
            <w:vAlign w:val="center"/>
          </w:tcPr>
          <w:p>
            <w:pPr>
              <w:widowControl/>
              <w:ind w:firstLine="480"/>
              <w:jc w:val="center"/>
              <w:rPr>
                <w:rFonts w:ascii="Times New Roman" w:hAnsi="Times New Roman" w:eastAsia="楷体"/>
                <w:kern w:val="4"/>
                <w:sz w:val="24"/>
              </w:rPr>
            </w:pPr>
            <w:r>
              <w:rPr>
                <w:rFonts w:ascii="Times New Roman" w:hAnsi="Times New Roman" w:eastAsia="楷体"/>
                <w:kern w:val="4"/>
                <w:sz w:val="24"/>
              </w:rPr>
              <w:t>轨道</w:t>
            </w:r>
          </w:p>
        </w:tc>
        <w:tc>
          <w:tcPr>
            <w:tcW w:w="3117" w:type="dxa"/>
            <w:noWrap/>
            <w:vAlign w:val="center"/>
          </w:tcPr>
          <w:p>
            <w:pPr>
              <w:widowControl/>
              <w:ind w:firstLine="440"/>
              <w:jc w:val="center"/>
              <w:rPr>
                <w:rFonts w:ascii="Times New Roman" w:hAnsi="Times New Roman" w:eastAsia="楷体"/>
                <w:kern w:val="4"/>
                <w:sz w:val="22"/>
                <w:szCs w:val="22"/>
              </w:rPr>
            </w:pPr>
            <w:r>
              <w:rPr>
                <w:rFonts w:ascii="Times New Roman" w:hAnsi="Times New Roman" w:eastAsia="楷体"/>
                <w:kern w:val="4"/>
                <w:sz w:val="22"/>
                <w:szCs w:val="22"/>
              </w:rPr>
              <w:t>966</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79" w:type="dxa"/>
            <w:vMerge w:val="restart"/>
            <w:vAlign w:val="center"/>
          </w:tcPr>
          <w:p>
            <w:pPr>
              <w:widowControl/>
              <w:ind w:firstLine="480"/>
              <w:jc w:val="center"/>
              <w:rPr>
                <w:rFonts w:ascii="Times New Roman" w:hAnsi="Times New Roman" w:eastAsia="楷体"/>
                <w:kern w:val="4"/>
                <w:sz w:val="24"/>
              </w:rPr>
            </w:pPr>
            <w:r>
              <w:rPr>
                <w:rFonts w:ascii="Times New Roman" w:hAnsi="Times New Roman" w:eastAsia="楷体"/>
                <w:kern w:val="4"/>
                <w:sz w:val="24"/>
              </w:rPr>
              <w:t>水运</w:t>
            </w:r>
          </w:p>
        </w:tc>
        <w:tc>
          <w:tcPr>
            <w:tcW w:w="3009" w:type="dxa"/>
            <w:vAlign w:val="center"/>
          </w:tcPr>
          <w:p>
            <w:pPr>
              <w:widowControl/>
              <w:ind w:firstLine="480"/>
              <w:jc w:val="center"/>
              <w:rPr>
                <w:rFonts w:ascii="Times New Roman" w:hAnsi="Times New Roman" w:eastAsia="楷体"/>
                <w:kern w:val="4"/>
                <w:sz w:val="24"/>
              </w:rPr>
            </w:pPr>
            <w:r>
              <w:rPr>
                <w:rFonts w:ascii="Times New Roman" w:hAnsi="Times New Roman" w:eastAsia="楷体"/>
                <w:kern w:val="4"/>
                <w:sz w:val="24"/>
              </w:rPr>
              <w:t>航道</w:t>
            </w:r>
          </w:p>
        </w:tc>
        <w:tc>
          <w:tcPr>
            <w:tcW w:w="3117" w:type="dxa"/>
            <w:noWrap/>
            <w:vAlign w:val="center"/>
          </w:tcPr>
          <w:p>
            <w:pPr>
              <w:widowControl/>
              <w:ind w:firstLine="440"/>
              <w:jc w:val="center"/>
              <w:rPr>
                <w:rFonts w:ascii="Times New Roman" w:hAnsi="Times New Roman" w:eastAsia="楷体"/>
                <w:kern w:val="4"/>
                <w:sz w:val="22"/>
                <w:szCs w:val="22"/>
              </w:rPr>
            </w:pPr>
            <w:r>
              <w:rPr>
                <w:rFonts w:ascii="Times New Roman" w:hAnsi="Times New Roman" w:eastAsia="楷体"/>
                <w:kern w:val="4"/>
                <w:sz w:val="22"/>
                <w:szCs w:val="22"/>
              </w:rPr>
              <w:t>3300</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79" w:type="dxa"/>
            <w:vMerge w:val="continue"/>
            <w:vAlign w:val="center"/>
          </w:tcPr>
          <w:p>
            <w:pPr>
              <w:widowControl/>
              <w:ind w:firstLine="480"/>
              <w:jc w:val="center"/>
              <w:rPr>
                <w:rFonts w:ascii="Times New Roman" w:hAnsi="Times New Roman" w:eastAsia="楷体"/>
                <w:kern w:val="4"/>
                <w:sz w:val="24"/>
              </w:rPr>
            </w:pPr>
          </w:p>
        </w:tc>
        <w:tc>
          <w:tcPr>
            <w:tcW w:w="3009" w:type="dxa"/>
            <w:vAlign w:val="center"/>
          </w:tcPr>
          <w:p>
            <w:pPr>
              <w:widowControl/>
              <w:ind w:firstLine="480"/>
              <w:jc w:val="center"/>
              <w:rPr>
                <w:rFonts w:ascii="Times New Roman" w:hAnsi="Times New Roman" w:eastAsia="楷体"/>
                <w:kern w:val="4"/>
                <w:sz w:val="24"/>
              </w:rPr>
            </w:pPr>
            <w:r>
              <w:rPr>
                <w:rFonts w:ascii="Times New Roman" w:hAnsi="Times New Roman" w:eastAsia="楷体"/>
                <w:kern w:val="4"/>
                <w:sz w:val="24"/>
              </w:rPr>
              <w:t>港口</w:t>
            </w:r>
          </w:p>
        </w:tc>
        <w:tc>
          <w:tcPr>
            <w:tcW w:w="3117" w:type="dxa"/>
            <w:vAlign w:val="center"/>
          </w:tcPr>
          <w:p>
            <w:pPr>
              <w:widowControl/>
              <w:ind w:firstLine="440"/>
              <w:jc w:val="center"/>
              <w:rPr>
                <w:rFonts w:ascii="Times New Roman" w:hAnsi="Times New Roman" w:eastAsia="楷体"/>
                <w:kern w:val="4"/>
                <w:sz w:val="22"/>
                <w:szCs w:val="22"/>
              </w:rPr>
            </w:pPr>
            <w:r>
              <w:rPr>
                <w:rFonts w:ascii="Times New Roman" w:hAnsi="Times New Roman" w:eastAsia="楷体"/>
                <w:kern w:val="4"/>
                <w:sz w:val="22"/>
                <w:szCs w:val="22"/>
              </w:rPr>
              <w:t>863</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79" w:type="dxa"/>
            <w:vMerge w:val="continue"/>
            <w:vAlign w:val="center"/>
          </w:tcPr>
          <w:p>
            <w:pPr>
              <w:widowControl/>
              <w:ind w:firstLine="480"/>
              <w:jc w:val="center"/>
              <w:rPr>
                <w:rFonts w:ascii="Times New Roman" w:hAnsi="Times New Roman" w:eastAsia="楷体"/>
                <w:kern w:val="4"/>
                <w:sz w:val="24"/>
              </w:rPr>
            </w:pPr>
          </w:p>
        </w:tc>
        <w:tc>
          <w:tcPr>
            <w:tcW w:w="3009" w:type="dxa"/>
            <w:vAlign w:val="center"/>
          </w:tcPr>
          <w:p>
            <w:pPr>
              <w:widowControl/>
              <w:ind w:firstLine="480"/>
              <w:jc w:val="center"/>
              <w:rPr>
                <w:rFonts w:ascii="Times New Roman" w:hAnsi="Times New Roman" w:eastAsia="楷体"/>
                <w:kern w:val="4"/>
                <w:sz w:val="24"/>
              </w:rPr>
            </w:pPr>
            <w:r>
              <w:rPr>
                <w:rFonts w:ascii="Times New Roman" w:hAnsi="Times New Roman" w:eastAsia="楷体"/>
                <w:kern w:val="4"/>
                <w:sz w:val="24"/>
              </w:rPr>
              <w:t>小计</w:t>
            </w:r>
          </w:p>
        </w:tc>
        <w:tc>
          <w:tcPr>
            <w:tcW w:w="3117" w:type="dxa"/>
            <w:noWrap/>
            <w:vAlign w:val="center"/>
          </w:tcPr>
          <w:p>
            <w:pPr>
              <w:widowControl/>
              <w:ind w:firstLine="440"/>
              <w:jc w:val="center"/>
              <w:rPr>
                <w:rFonts w:ascii="Times New Roman" w:hAnsi="Times New Roman" w:eastAsia="楷体"/>
                <w:kern w:val="4"/>
                <w:sz w:val="22"/>
                <w:szCs w:val="22"/>
              </w:rPr>
            </w:pPr>
            <w:r>
              <w:rPr>
                <w:rFonts w:ascii="Times New Roman" w:hAnsi="Times New Roman" w:eastAsia="楷体"/>
                <w:kern w:val="4"/>
                <w:sz w:val="22"/>
                <w:szCs w:val="22"/>
              </w:rPr>
              <w:t>4163</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88" w:type="dxa"/>
            <w:gridSpan w:val="2"/>
            <w:vAlign w:val="center"/>
          </w:tcPr>
          <w:p>
            <w:pPr>
              <w:widowControl/>
              <w:ind w:firstLine="480"/>
              <w:jc w:val="center"/>
              <w:rPr>
                <w:rFonts w:ascii="Times New Roman" w:hAnsi="Times New Roman" w:eastAsia="楷体"/>
                <w:kern w:val="4"/>
                <w:sz w:val="24"/>
              </w:rPr>
            </w:pPr>
            <w:r>
              <w:rPr>
                <w:rFonts w:ascii="Times New Roman" w:hAnsi="Times New Roman" w:eastAsia="楷体"/>
                <w:kern w:val="4"/>
                <w:sz w:val="24"/>
              </w:rPr>
              <w:t>通用机场</w:t>
            </w:r>
          </w:p>
        </w:tc>
        <w:tc>
          <w:tcPr>
            <w:tcW w:w="3117" w:type="dxa"/>
            <w:noWrap/>
            <w:vAlign w:val="center"/>
          </w:tcPr>
          <w:p>
            <w:pPr>
              <w:widowControl/>
              <w:ind w:firstLine="440"/>
              <w:jc w:val="center"/>
              <w:rPr>
                <w:rFonts w:ascii="Times New Roman" w:hAnsi="Times New Roman" w:eastAsia="楷体"/>
                <w:kern w:val="4"/>
                <w:sz w:val="22"/>
                <w:szCs w:val="22"/>
              </w:rPr>
            </w:pPr>
            <w:r>
              <w:rPr>
                <w:rFonts w:ascii="Times New Roman" w:hAnsi="Times New Roman" w:eastAsia="楷体"/>
                <w:kern w:val="4"/>
                <w:sz w:val="22"/>
                <w:szCs w:val="22"/>
              </w:rPr>
              <w:t>300</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79" w:type="dxa"/>
            <w:vMerge w:val="restart"/>
            <w:vAlign w:val="center"/>
          </w:tcPr>
          <w:p>
            <w:pPr>
              <w:widowControl/>
              <w:ind w:firstLine="480"/>
              <w:jc w:val="center"/>
              <w:rPr>
                <w:rFonts w:ascii="Times New Roman" w:hAnsi="Times New Roman" w:eastAsia="楷体"/>
                <w:kern w:val="4"/>
                <w:sz w:val="24"/>
              </w:rPr>
            </w:pPr>
            <w:r>
              <w:rPr>
                <w:rFonts w:ascii="Times New Roman" w:hAnsi="Times New Roman" w:eastAsia="楷体"/>
                <w:kern w:val="4"/>
                <w:sz w:val="24"/>
              </w:rPr>
              <w:t>场站</w:t>
            </w:r>
          </w:p>
        </w:tc>
        <w:tc>
          <w:tcPr>
            <w:tcW w:w="3009" w:type="dxa"/>
            <w:vAlign w:val="center"/>
          </w:tcPr>
          <w:p>
            <w:pPr>
              <w:widowControl/>
              <w:ind w:firstLine="480"/>
              <w:jc w:val="center"/>
              <w:rPr>
                <w:rFonts w:ascii="Times New Roman" w:hAnsi="Times New Roman" w:eastAsia="楷体"/>
                <w:kern w:val="4"/>
                <w:sz w:val="24"/>
              </w:rPr>
            </w:pPr>
            <w:r>
              <w:rPr>
                <w:rFonts w:ascii="Times New Roman" w:hAnsi="Times New Roman" w:eastAsia="楷体"/>
                <w:kern w:val="4"/>
                <w:sz w:val="24"/>
              </w:rPr>
              <w:t>客运场站</w:t>
            </w:r>
          </w:p>
        </w:tc>
        <w:tc>
          <w:tcPr>
            <w:tcW w:w="3117" w:type="dxa"/>
            <w:noWrap/>
            <w:vAlign w:val="center"/>
          </w:tcPr>
          <w:p>
            <w:pPr>
              <w:widowControl/>
              <w:ind w:firstLine="440"/>
              <w:jc w:val="center"/>
              <w:rPr>
                <w:rFonts w:ascii="Times New Roman" w:hAnsi="Times New Roman" w:eastAsia="楷体"/>
                <w:kern w:val="4"/>
                <w:sz w:val="22"/>
                <w:szCs w:val="22"/>
              </w:rPr>
            </w:pPr>
            <w:r>
              <w:rPr>
                <w:rFonts w:ascii="Times New Roman" w:hAnsi="Times New Roman" w:eastAsia="楷体"/>
                <w:kern w:val="4"/>
                <w:sz w:val="22"/>
                <w:szCs w:val="22"/>
              </w:rPr>
              <w:t>334</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79" w:type="dxa"/>
            <w:vMerge w:val="continue"/>
            <w:vAlign w:val="center"/>
          </w:tcPr>
          <w:p>
            <w:pPr>
              <w:widowControl/>
              <w:ind w:firstLine="480"/>
              <w:jc w:val="center"/>
              <w:rPr>
                <w:rFonts w:ascii="Times New Roman" w:hAnsi="Times New Roman" w:eastAsia="楷体"/>
                <w:kern w:val="4"/>
                <w:sz w:val="24"/>
              </w:rPr>
            </w:pPr>
          </w:p>
        </w:tc>
        <w:tc>
          <w:tcPr>
            <w:tcW w:w="3009" w:type="dxa"/>
            <w:vAlign w:val="center"/>
          </w:tcPr>
          <w:p>
            <w:pPr>
              <w:widowControl/>
              <w:ind w:firstLine="480"/>
              <w:jc w:val="center"/>
              <w:rPr>
                <w:rFonts w:ascii="Times New Roman" w:hAnsi="Times New Roman" w:eastAsia="楷体"/>
                <w:kern w:val="4"/>
                <w:sz w:val="24"/>
              </w:rPr>
            </w:pPr>
            <w:r>
              <w:rPr>
                <w:rFonts w:ascii="Times New Roman" w:hAnsi="Times New Roman" w:eastAsia="楷体"/>
                <w:kern w:val="4"/>
                <w:sz w:val="24"/>
              </w:rPr>
              <w:t>物流基地</w:t>
            </w:r>
          </w:p>
        </w:tc>
        <w:tc>
          <w:tcPr>
            <w:tcW w:w="3117" w:type="dxa"/>
            <w:vAlign w:val="center"/>
          </w:tcPr>
          <w:p>
            <w:pPr>
              <w:widowControl/>
              <w:ind w:firstLine="440"/>
              <w:jc w:val="center"/>
              <w:rPr>
                <w:rFonts w:ascii="Times New Roman" w:hAnsi="Times New Roman" w:eastAsia="楷体"/>
                <w:kern w:val="4"/>
                <w:sz w:val="22"/>
                <w:szCs w:val="22"/>
              </w:rPr>
            </w:pPr>
            <w:r>
              <w:rPr>
                <w:rFonts w:ascii="Times New Roman" w:hAnsi="Times New Roman" w:eastAsia="楷体"/>
                <w:kern w:val="4"/>
                <w:sz w:val="22"/>
                <w:szCs w:val="22"/>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79" w:type="dxa"/>
            <w:vMerge w:val="continue"/>
            <w:vAlign w:val="center"/>
          </w:tcPr>
          <w:p>
            <w:pPr>
              <w:widowControl/>
              <w:ind w:firstLine="480"/>
              <w:jc w:val="center"/>
              <w:rPr>
                <w:rFonts w:ascii="Times New Roman" w:hAnsi="Times New Roman" w:eastAsia="楷体"/>
                <w:kern w:val="4"/>
                <w:sz w:val="24"/>
              </w:rPr>
            </w:pPr>
          </w:p>
        </w:tc>
        <w:tc>
          <w:tcPr>
            <w:tcW w:w="3009" w:type="dxa"/>
            <w:vAlign w:val="center"/>
          </w:tcPr>
          <w:p>
            <w:pPr>
              <w:widowControl/>
              <w:ind w:firstLine="480"/>
              <w:jc w:val="center"/>
              <w:rPr>
                <w:rFonts w:ascii="Times New Roman" w:hAnsi="Times New Roman" w:eastAsia="楷体"/>
                <w:kern w:val="4"/>
                <w:sz w:val="24"/>
              </w:rPr>
            </w:pPr>
            <w:r>
              <w:rPr>
                <w:rFonts w:ascii="Times New Roman" w:hAnsi="Times New Roman" w:eastAsia="楷体"/>
                <w:kern w:val="4"/>
                <w:sz w:val="24"/>
              </w:rPr>
              <w:t>小计</w:t>
            </w:r>
          </w:p>
        </w:tc>
        <w:tc>
          <w:tcPr>
            <w:tcW w:w="3117" w:type="dxa"/>
            <w:noWrap/>
            <w:vAlign w:val="center"/>
          </w:tcPr>
          <w:p>
            <w:pPr>
              <w:widowControl/>
              <w:ind w:firstLine="440"/>
              <w:jc w:val="center"/>
              <w:rPr>
                <w:rFonts w:ascii="Times New Roman" w:hAnsi="Times New Roman" w:eastAsia="楷体"/>
                <w:kern w:val="4"/>
                <w:sz w:val="22"/>
                <w:szCs w:val="22"/>
              </w:rPr>
            </w:pPr>
            <w:r>
              <w:rPr>
                <w:rFonts w:ascii="Times New Roman" w:hAnsi="Times New Roman" w:eastAsia="楷体"/>
                <w:kern w:val="4"/>
                <w:sz w:val="22"/>
                <w:szCs w:val="22"/>
              </w:rPr>
              <w:t>334</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88" w:type="dxa"/>
            <w:gridSpan w:val="2"/>
            <w:vAlign w:val="center"/>
          </w:tcPr>
          <w:p>
            <w:pPr>
              <w:widowControl/>
              <w:ind w:firstLine="480"/>
              <w:jc w:val="center"/>
              <w:rPr>
                <w:rFonts w:ascii="Times New Roman" w:hAnsi="Times New Roman" w:eastAsia="楷体"/>
                <w:kern w:val="4"/>
                <w:sz w:val="24"/>
              </w:rPr>
            </w:pPr>
            <w:r>
              <w:rPr>
                <w:rFonts w:ascii="Times New Roman" w:hAnsi="Times New Roman" w:eastAsia="楷体"/>
                <w:kern w:val="4"/>
                <w:sz w:val="24"/>
              </w:rPr>
              <w:t>其他</w:t>
            </w:r>
          </w:p>
        </w:tc>
        <w:tc>
          <w:tcPr>
            <w:tcW w:w="3117" w:type="dxa"/>
            <w:noWrap/>
            <w:vAlign w:val="center"/>
          </w:tcPr>
          <w:p>
            <w:pPr>
              <w:widowControl/>
              <w:ind w:firstLine="440"/>
              <w:jc w:val="center"/>
              <w:rPr>
                <w:rFonts w:ascii="Times New Roman" w:hAnsi="Times New Roman" w:eastAsia="楷体"/>
                <w:kern w:val="4"/>
                <w:sz w:val="22"/>
                <w:szCs w:val="22"/>
              </w:rPr>
            </w:pPr>
            <w:r>
              <w:rPr>
                <w:rFonts w:ascii="Times New Roman" w:hAnsi="Times New Roman" w:eastAsia="楷体"/>
                <w:kern w:val="4"/>
                <w:sz w:val="22"/>
                <w:szCs w:val="22"/>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88" w:type="dxa"/>
            <w:gridSpan w:val="2"/>
            <w:tcBorders>
              <w:bottom w:val="double" w:color="auto" w:sz="4" w:space="0"/>
            </w:tcBorders>
            <w:vAlign w:val="center"/>
          </w:tcPr>
          <w:p>
            <w:pPr>
              <w:widowControl/>
              <w:ind w:firstLine="480"/>
              <w:jc w:val="center"/>
              <w:rPr>
                <w:rFonts w:ascii="Times New Roman" w:hAnsi="Times New Roman" w:eastAsia="楷体"/>
                <w:kern w:val="4"/>
                <w:sz w:val="24"/>
              </w:rPr>
            </w:pPr>
            <w:r>
              <w:rPr>
                <w:rFonts w:ascii="Times New Roman" w:hAnsi="Times New Roman" w:eastAsia="楷体"/>
                <w:kern w:val="4"/>
                <w:sz w:val="24"/>
              </w:rPr>
              <w:t>合计</w:t>
            </w:r>
          </w:p>
        </w:tc>
        <w:tc>
          <w:tcPr>
            <w:tcW w:w="3117" w:type="dxa"/>
            <w:tcBorders>
              <w:bottom w:val="double" w:color="auto" w:sz="4" w:space="0"/>
            </w:tcBorders>
            <w:noWrap/>
            <w:vAlign w:val="center"/>
          </w:tcPr>
          <w:p>
            <w:pPr>
              <w:widowControl/>
              <w:ind w:firstLine="440"/>
              <w:jc w:val="center"/>
              <w:rPr>
                <w:rFonts w:ascii="Times New Roman" w:hAnsi="Times New Roman" w:eastAsia="楷体"/>
                <w:kern w:val="4"/>
                <w:sz w:val="22"/>
                <w:szCs w:val="22"/>
              </w:rPr>
            </w:pPr>
            <w:r>
              <w:rPr>
                <w:rFonts w:ascii="Times New Roman" w:hAnsi="Times New Roman" w:eastAsia="楷体"/>
                <w:kern w:val="4"/>
                <w:sz w:val="22"/>
                <w:szCs w:val="22"/>
              </w:rPr>
              <w:t>15470</w:t>
            </w:r>
          </w:p>
        </w:tc>
      </w:tr>
    </w:tbl>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土地保障建议：</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1、加强与国土、规划部门的沟通协调，保障公益性交通服务基础设施建设用地。面对目前很多规划建设项目缺少相关用地指标，征地拆迁难度越来越大，建设过程中用地审批困难的局面，建议将交通规划项目用地纳入土地利用总体规划和城市总体规划中统筹考虑，特别是在城市规划中预留公益性交通项目建设、客货运站场建设、交通物流基地等设施建设用地。</w:t>
      </w:r>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2、探索以土地资源支持交通发展的政府投资新模式。通过整合现有交通资源、划拨土地、财政资金等组建地方交通投融资机构，通过资本运作、筹集资金加快地方交通建设。提请政府出台政策，对公路通行条件改善后产生的沿线土地增值效益，按投资比例予以分享，省投资收益仍全部滚动用于该地区交通建设投入，吸引地方政府将更多的土地、财政资金等资源倾斜到交通上来，形成滚动发展的良性机制。</w:t>
      </w:r>
    </w:p>
    <w:p>
      <w:pPr>
        <w:spacing w:line="960" w:lineRule="exact"/>
        <w:ind w:firstLine="0" w:firstLineChars="0"/>
        <w:outlineLvl w:val="1"/>
        <w:rPr>
          <w:rFonts w:ascii="Times New Roman" w:hAnsi="Times New Roman" w:eastAsia="黑体"/>
          <w:kern w:val="4"/>
          <w:sz w:val="32"/>
          <w:szCs w:val="28"/>
        </w:rPr>
      </w:pPr>
      <w:bookmarkStart w:id="78" w:name="_Toc429487903"/>
      <w:bookmarkStart w:id="79" w:name="_Toc438123219"/>
      <w:r>
        <w:rPr>
          <w:rFonts w:ascii="Times New Roman" w:hAnsi="Times New Roman" w:eastAsia="黑体"/>
          <w:kern w:val="4"/>
          <w:sz w:val="32"/>
          <w:szCs w:val="28"/>
        </w:rPr>
        <w:t>5.4加强考核评估</w:t>
      </w:r>
      <w:bookmarkEnd w:id="78"/>
      <w:bookmarkEnd w:id="79"/>
    </w:p>
    <w:p>
      <w:pPr>
        <w:spacing w:line="560" w:lineRule="exact"/>
        <w:ind w:firstLine="600"/>
        <w:rPr>
          <w:rFonts w:ascii="Times New Roman" w:hAnsi="Times New Roman" w:eastAsia="仿宋_GB2312"/>
          <w:kern w:val="4"/>
          <w:sz w:val="30"/>
          <w:szCs w:val="30"/>
        </w:rPr>
      </w:pPr>
      <w:r>
        <w:rPr>
          <w:rFonts w:ascii="Times New Roman" w:hAnsi="Times New Roman" w:eastAsia="仿宋_GB2312"/>
          <w:kern w:val="4"/>
          <w:sz w:val="30"/>
          <w:szCs w:val="30"/>
        </w:rPr>
        <w:t>加快构建全区综合交通运输发展的科学评估考核体系，重点做好基础设施建设养护、运输服务、现代运输业发展及环境友好型、资源节约型社会创建等领域的考核和评估，逐步建立相关激励机制和倒逼机制，推动全区交通运输全面、协调和可持续发展。重点以交通运输统计分析工作为抓手，充分利用信息化手段，夯实考核评估的工作基础。完善和拓展基础数据平台和系统，切实增强统计与分析的人员力量和工作成果时效性，完善交通经济运行分析模式。加强交通运输与经济社会发展的关联统计分析，使统计分析信息能较为完整地反映交通运输活动的各个方面，更好地为行业管理和政策制定提供决策支持。</w:t>
      </w:r>
    </w:p>
    <w:bookmarkEnd w:id="71"/>
    <w:p>
      <w:pPr>
        <w:spacing w:line="960" w:lineRule="exact"/>
        <w:ind w:firstLine="0" w:firstLineChars="0"/>
        <w:jc w:val="center"/>
        <w:rPr>
          <w:rFonts w:ascii="Times New Roman" w:hAnsi="Times New Roman" w:eastAsia="黑体"/>
          <w:kern w:val="4"/>
          <w:szCs w:val="28"/>
        </w:rPr>
      </w:pPr>
      <w:bookmarkStart w:id="80" w:name="_Toc427651277"/>
    </w:p>
    <w:bookmarkEnd w:id="80"/>
    <w:p>
      <w:pPr>
        <w:ind w:firstLine="560"/>
        <w:rPr>
          <w:rFonts w:ascii="Times New Roman" w:hAnsi="Times New Roman"/>
          <w:kern w:val="4"/>
        </w:rPr>
        <w:sectPr>
          <w:headerReference r:id="rId19" w:type="default"/>
          <w:footerReference r:id="rId20" w:type="default"/>
          <w:pgSz w:w="11906" w:h="16838"/>
          <w:pgMar w:top="1701" w:right="1134" w:bottom="1418" w:left="1418" w:header="1247" w:footer="992" w:gutter="0"/>
          <w:cols w:space="425" w:num="1"/>
          <w:rtlGutter w:val="1"/>
          <w:docGrid w:linePitch="312" w:charSpace="0"/>
        </w:sectPr>
      </w:pPr>
    </w:p>
    <w:p>
      <w:pPr>
        <w:spacing w:line="960" w:lineRule="exact"/>
        <w:ind w:firstLine="0" w:firstLineChars="0"/>
        <w:jc w:val="center"/>
        <w:outlineLvl w:val="0"/>
        <w:rPr>
          <w:rFonts w:ascii="Times New Roman" w:hAnsi="Times New Roman" w:eastAsia="黑体"/>
          <w:kern w:val="4"/>
          <w:sz w:val="24"/>
        </w:rPr>
      </w:pPr>
      <w:bookmarkStart w:id="81" w:name="_Toc280018314"/>
      <w:bookmarkStart w:id="82" w:name="_Toc280777761"/>
      <w:bookmarkStart w:id="83" w:name="_Toc427651278"/>
      <w:r>
        <w:rPr>
          <w:rFonts w:ascii="Times New Roman" w:hAnsi="Times New Roman" w:eastAsia="黑体"/>
          <w:kern w:val="4"/>
          <w:sz w:val="24"/>
        </w:rPr>
        <w:t>附表</w:t>
      </w:r>
      <w:bookmarkEnd w:id="81"/>
      <w:bookmarkEnd w:id="82"/>
      <w:r>
        <w:rPr>
          <w:rFonts w:ascii="Times New Roman" w:hAnsi="Times New Roman" w:eastAsia="黑体"/>
          <w:kern w:val="4"/>
          <w:sz w:val="24"/>
        </w:rPr>
        <w:t>1</w:t>
      </w:r>
      <w:r>
        <w:rPr>
          <w:rFonts w:ascii="Times New Roman" w:hAnsi="Times New Roman" w:eastAsia="黑体"/>
          <w:bCs/>
          <w:kern w:val="4"/>
          <w:sz w:val="24"/>
        </w:rPr>
        <w:t>溧水区“十三五”交通重点项目建设计划表</w:t>
      </w:r>
      <w:bookmarkEnd w:id="83"/>
    </w:p>
    <w:tbl>
      <w:tblPr>
        <w:tblStyle w:val="30"/>
        <w:tblW w:w="21385" w:type="dxa"/>
        <w:tblInd w:w="93" w:type="dxa"/>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887"/>
        <w:gridCol w:w="2231"/>
        <w:gridCol w:w="1051"/>
        <w:gridCol w:w="1470"/>
        <w:gridCol w:w="1743"/>
        <w:gridCol w:w="1542"/>
        <w:gridCol w:w="1808"/>
        <w:gridCol w:w="1518"/>
        <w:gridCol w:w="1819"/>
        <w:gridCol w:w="1518"/>
        <w:gridCol w:w="1819"/>
        <w:gridCol w:w="1518"/>
        <w:gridCol w:w="1130"/>
        <w:gridCol w:w="1331"/>
      </w:tblGrid>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887" w:type="dxa"/>
            <w:vMerge w:val="restart"/>
            <w:tcBorders>
              <w:top w:val="double" w:color="auto" w:sz="6" w:space="0"/>
            </w:tcBorders>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序号</w:t>
            </w:r>
          </w:p>
        </w:tc>
        <w:tc>
          <w:tcPr>
            <w:tcW w:w="2231" w:type="dxa"/>
            <w:vMerge w:val="restart"/>
            <w:tcBorders>
              <w:top w:val="double" w:color="auto" w:sz="6" w:space="0"/>
            </w:tcBorders>
            <w:noWrap/>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项目名称</w:t>
            </w:r>
          </w:p>
        </w:tc>
        <w:tc>
          <w:tcPr>
            <w:tcW w:w="1051" w:type="dxa"/>
            <w:vMerge w:val="restart"/>
            <w:tcBorders>
              <w:top w:val="double" w:color="auto" w:sz="6" w:space="0"/>
            </w:tcBorders>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建设性质</w:t>
            </w:r>
          </w:p>
        </w:tc>
        <w:tc>
          <w:tcPr>
            <w:tcW w:w="3213" w:type="dxa"/>
            <w:gridSpan w:val="2"/>
            <w:vMerge w:val="restart"/>
            <w:tcBorders>
              <w:top w:val="double" w:color="auto" w:sz="6" w:space="0"/>
            </w:tcBorders>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规模标准</w:t>
            </w:r>
          </w:p>
        </w:tc>
        <w:tc>
          <w:tcPr>
            <w:tcW w:w="1542" w:type="dxa"/>
            <w:vMerge w:val="restart"/>
            <w:tcBorders>
              <w:top w:val="double" w:color="auto" w:sz="6" w:space="0"/>
            </w:tcBorders>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建设年限</w:t>
            </w:r>
          </w:p>
        </w:tc>
        <w:tc>
          <w:tcPr>
            <w:tcW w:w="1808" w:type="dxa"/>
            <w:vMerge w:val="restart"/>
            <w:tcBorders>
              <w:top w:val="double" w:color="auto" w:sz="6" w:space="0"/>
            </w:tcBorders>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总投资</w:t>
            </w:r>
          </w:p>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（万元）</w:t>
            </w:r>
          </w:p>
        </w:tc>
        <w:tc>
          <w:tcPr>
            <w:tcW w:w="1518" w:type="dxa"/>
            <w:vMerge w:val="restart"/>
            <w:tcBorders>
              <w:top w:val="double" w:color="auto" w:sz="6" w:space="0"/>
            </w:tcBorders>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“十二五”完成投资</w:t>
            </w:r>
          </w:p>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（万元）</w:t>
            </w:r>
          </w:p>
        </w:tc>
        <w:tc>
          <w:tcPr>
            <w:tcW w:w="6674" w:type="dxa"/>
            <w:gridSpan w:val="4"/>
            <w:tcBorders>
              <w:top w:val="double" w:color="auto" w:sz="6" w:space="0"/>
            </w:tcBorders>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“十三五”计划投资</w:t>
            </w:r>
          </w:p>
        </w:tc>
        <w:tc>
          <w:tcPr>
            <w:tcW w:w="1130" w:type="dxa"/>
            <w:vMerge w:val="restart"/>
            <w:tcBorders>
              <w:top w:val="double" w:color="auto" w:sz="6" w:space="0"/>
            </w:tcBorders>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“十三五”用地测算（亩）</w:t>
            </w:r>
          </w:p>
        </w:tc>
        <w:tc>
          <w:tcPr>
            <w:tcW w:w="1331" w:type="dxa"/>
            <w:vMerge w:val="restart"/>
            <w:tcBorders>
              <w:top w:val="double" w:color="auto" w:sz="6" w:space="0"/>
            </w:tcBorders>
            <w:noWrap/>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备注</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887" w:type="dxa"/>
            <w:vMerge w:val="continue"/>
            <w:vAlign w:val="center"/>
          </w:tcPr>
          <w:p>
            <w:pPr>
              <w:widowControl/>
              <w:autoSpaceDE/>
              <w:autoSpaceDN/>
              <w:ind w:firstLine="0" w:firstLineChars="0"/>
              <w:jc w:val="center"/>
              <w:rPr>
                <w:rFonts w:ascii="Times New Roman" w:hAnsi="Times New Roman" w:eastAsia="楷体"/>
                <w:b/>
                <w:bCs/>
                <w:kern w:val="4"/>
                <w:sz w:val="21"/>
                <w:szCs w:val="21"/>
              </w:rPr>
            </w:pPr>
          </w:p>
        </w:tc>
        <w:tc>
          <w:tcPr>
            <w:tcW w:w="2231" w:type="dxa"/>
            <w:vMerge w:val="continue"/>
            <w:vAlign w:val="center"/>
          </w:tcPr>
          <w:p>
            <w:pPr>
              <w:widowControl/>
              <w:autoSpaceDE/>
              <w:autoSpaceDN/>
              <w:ind w:firstLine="0" w:firstLineChars="0"/>
              <w:jc w:val="center"/>
              <w:rPr>
                <w:rFonts w:ascii="Times New Roman" w:hAnsi="Times New Roman" w:eastAsia="楷体"/>
                <w:b/>
                <w:bCs/>
                <w:kern w:val="4"/>
                <w:sz w:val="21"/>
                <w:szCs w:val="21"/>
              </w:rPr>
            </w:pPr>
          </w:p>
        </w:tc>
        <w:tc>
          <w:tcPr>
            <w:tcW w:w="1051" w:type="dxa"/>
            <w:vMerge w:val="continue"/>
            <w:vAlign w:val="center"/>
          </w:tcPr>
          <w:p>
            <w:pPr>
              <w:widowControl/>
              <w:autoSpaceDE/>
              <w:autoSpaceDN/>
              <w:ind w:firstLine="0" w:firstLineChars="0"/>
              <w:jc w:val="center"/>
              <w:rPr>
                <w:rFonts w:ascii="Times New Roman" w:hAnsi="Times New Roman" w:eastAsia="楷体"/>
                <w:b/>
                <w:bCs/>
                <w:kern w:val="4"/>
                <w:sz w:val="21"/>
                <w:szCs w:val="21"/>
              </w:rPr>
            </w:pPr>
          </w:p>
        </w:tc>
        <w:tc>
          <w:tcPr>
            <w:tcW w:w="3213" w:type="dxa"/>
            <w:gridSpan w:val="2"/>
            <w:vMerge w:val="continue"/>
            <w:vAlign w:val="center"/>
          </w:tcPr>
          <w:p>
            <w:pPr>
              <w:widowControl/>
              <w:autoSpaceDE/>
              <w:autoSpaceDN/>
              <w:ind w:firstLine="0" w:firstLineChars="0"/>
              <w:jc w:val="center"/>
              <w:rPr>
                <w:rFonts w:ascii="Times New Roman" w:hAnsi="Times New Roman" w:eastAsia="楷体"/>
                <w:b/>
                <w:bCs/>
                <w:kern w:val="4"/>
                <w:sz w:val="21"/>
                <w:szCs w:val="21"/>
              </w:rPr>
            </w:pPr>
          </w:p>
        </w:tc>
        <w:tc>
          <w:tcPr>
            <w:tcW w:w="1542" w:type="dxa"/>
            <w:vMerge w:val="continue"/>
            <w:vAlign w:val="center"/>
          </w:tcPr>
          <w:p>
            <w:pPr>
              <w:widowControl/>
              <w:autoSpaceDE/>
              <w:autoSpaceDN/>
              <w:ind w:firstLine="0" w:firstLineChars="0"/>
              <w:jc w:val="center"/>
              <w:rPr>
                <w:rFonts w:ascii="Times New Roman" w:hAnsi="Times New Roman" w:eastAsia="楷体"/>
                <w:b/>
                <w:bCs/>
                <w:kern w:val="4"/>
                <w:sz w:val="21"/>
                <w:szCs w:val="21"/>
              </w:rPr>
            </w:pPr>
          </w:p>
        </w:tc>
        <w:tc>
          <w:tcPr>
            <w:tcW w:w="1808" w:type="dxa"/>
            <w:vMerge w:val="continue"/>
            <w:vAlign w:val="center"/>
          </w:tcPr>
          <w:p>
            <w:pPr>
              <w:widowControl/>
              <w:autoSpaceDE/>
              <w:autoSpaceDN/>
              <w:ind w:firstLine="0" w:firstLineChars="0"/>
              <w:jc w:val="center"/>
              <w:rPr>
                <w:rFonts w:ascii="Times New Roman" w:hAnsi="Times New Roman" w:eastAsia="楷体"/>
                <w:b/>
                <w:bCs/>
                <w:kern w:val="4"/>
                <w:sz w:val="21"/>
                <w:szCs w:val="21"/>
              </w:rPr>
            </w:pPr>
          </w:p>
        </w:tc>
        <w:tc>
          <w:tcPr>
            <w:tcW w:w="1518" w:type="dxa"/>
            <w:vMerge w:val="continue"/>
            <w:vAlign w:val="center"/>
          </w:tcPr>
          <w:p>
            <w:pPr>
              <w:widowControl/>
              <w:autoSpaceDE/>
              <w:autoSpaceDN/>
              <w:ind w:firstLine="0" w:firstLineChars="0"/>
              <w:jc w:val="center"/>
              <w:rPr>
                <w:rFonts w:ascii="Times New Roman" w:hAnsi="Times New Roman" w:eastAsia="楷体"/>
                <w:b/>
                <w:bCs/>
                <w:kern w:val="4"/>
                <w:sz w:val="21"/>
                <w:szCs w:val="21"/>
              </w:rPr>
            </w:pPr>
          </w:p>
        </w:tc>
        <w:tc>
          <w:tcPr>
            <w:tcW w:w="1819"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总投资</w:t>
            </w:r>
          </w:p>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（万元）</w:t>
            </w:r>
          </w:p>
        </w:tc>
        <w:tc>
          <w:tcPr>
            <w:tcW w:w="1518"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部省市补助</w:t>
            </w:r>
          </w:p>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（万元）</w:t>
            </w:r>
          </w:p>
        </w:tc>
        <w:tc>
          <w:tcPr>
            <w:tcW w:w="1819"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地方配套（万元）</w:t>
            </w:r>
          </w:p>
        </w:tc>
        <w:tc>
          <w:tcPr>
            <w:tcW w:w="1518"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社会资本（万元）</w:t>
            </w:r>
          </w:p>
        </w:tc>
        <w:tc>
          <w:tcPr>
            <w:tcW w:w="1130" w:type="dxa"/>
            <w:vMerge w:val="continue"/>
            <w:vAlign w:val="center"/>
          </w:tcPr>
          <w:p>
            <w:pPr>
              <w:widowControl/>
              <w:autoSpaceDE/>
              <w:autoSpaceDN/>
              <w:ind w:firstLine="0" w:firstLineChars="0"/>
              <w:jc w:val="center"/>
              <w:rPr>
                <w:rFonts w:ascii="Times New Roman" w:hAnsi="Times New Roman" w:eastAsia="楷体"/>
                <w:b/>
                <w:bCs/>
                <w:kern w:val="4"/>
                <w:sz w:val="21"/>
                <w:szCs w:val="21"/>
              </w:rPr>
            </w:pPr>
          </w:p>
        </w:tc>
        <w:tc>
          <w:tcPr>
            <w:tcW w:w="1331" w:type="dxa"/>
            <w:vMerge w:val="continue"/>
            <w:vAlign w:val="center"/>
          </w:tcPr>
          <w:p>
            <w:pPr>
              <w:widowControl/>
              <w:autoSpaceDE/>
              <w:autoSpaceDN/>
              <w:ind w:firstLine="0" w:firstLineChars="0"/>
              <w:jc w:val="center"/>
              <w:rPr>
                <w:rFonts w:ascii="Times New Roman" w:hAnsi="Times New Roman" w:eastAsia="楷体"/>
                <w:b/>
                <w:bCs/>
                <w:kern w:val="4"/>
                <w:sz w:val="21"/>
                <w:szCs w:val="21"/>
              </w:rPr>
            </w:pP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vAlign w:val="center"/>
          </w:tcPr>
          <w:p>
            <w:pPr>
              <w:widowControl/>
              <w:autoSpaceDE/>
              <w:autoSpaceDN/>
              <w:ind w:firstLine="0" w:firstLineChars="0"/>
              <w:jc w:val="center"/>
              <w:rPr>
                <w:rFonts w:ascii="Times New Roman" w:hAnsi="Times New Roman" w:eastAsia="楷体"/>
                <w:kern w:val="4"/>
                <w:sz w:val="21"/>
                <w:szCs w:val="21"/>
              </w:rPr>
            </w:pPr>
          </w:p>
        </w:tc>
        <w:tc>
          <w:tcPr>
            <w:tcW w:w="2231" w:type="dxa"/>
            <w:noWrap/>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合计</w:t>
            </w:r>
          </w:p>
        </w:tc>
        <w:tc>
          <w:tcPr>
            <w:tcW w:w="1051" w:type="dxa"/>
            <w:vAlign w:val="center"/>
          </w:tcPr>
          <w:p>
            <w:pPr>
              <w:widowControl/>
              <w:autoSpaceDE/>
              <w:autoSpaceDN/>
              <w:ind w:firstLine="0" w:firstLineChars="0"/>
              <w:jc w:val="center"/>
              <w:rPr>
                <w:rFonts w:ascii="Times New Roman" w:hAnsi="Times New Roman" w:eastAsia="楷体"/>
                <w:b/>
                <w:bCs/>
                <w:kern w:val="4"/>
                <w:sz w:val="21"/>
                <w:szCs w:val="21"/>
              </w:rPr>
            </w:pPr>
          </w:p>
        </w:tc>
        <w:tc>
          <w:tcPr>
            <w:tcW w:w="3213" w:type="dxa"/>
            <w:gridSpan w:val="2"/>
            <w:vAlign w:val="center"/>
          </w:tcPr>
          <w:p>
            <w:pPr>
              <w:widowControl/>
              <w:autoSpaceDE/>
              <w:autoSpaceDN/>
              <w:ind w:firstLine="0" w:firstLineChars="0"/>
              <w:jc w:val="center"/>
              <w:rPr>
                <w:rFonts w:ascii="Times New Roman" w:hAnsi="Times New Roman" w:eastAsia="楷体"/>
                <w:b/>
                <w:bCs/>
                <w:kern w:val="4"/>
                <w:sz w:val="21"/>
                <w:szCs w:val="21"/>
              </w:rPr>
            </w:pPr>
          </w:p>
        </w:tc>
        <w:tc>
          <w:tcPr>
            <w:tcW w:w="1542" w:type="dxa"/>
            <w:vAlign w:val="center"/>
          </w:tcPr>
          <w:p>
            <w:pPr>
              <w:widowControl/>
              <w:autoSpaceDE/>
              <w:autoSpaceDN/>
              <w:ind w:firstLine="0" w:firstLineChars="0"/>
              <w:jc w:val="center"/>
              <w:rPr>
                <w:rFonts w:ascii="Times New Roman" w:hAnsi="Times New Roman" w:eastAsia="楷体"/>
                <w:b/>
                <w:bCs/>
                <w:kern w:val="4"/>
                <w:sz w:val="21"/>
                <w:szCs w:val="21"/>
              </w:rPr>
            </w:pPr>
          </w:p>
        </w:tc>
        <w:tc>
          <w:tcPr>
            <w:tcW w:w="1808" w:type="dxa"/>
            <w:vAlign w:val="center"/>
          </w:tcPr>
          <w:p>
            <w:pPr>
              <w:widowControl/>
              <w:autoSpaceDE/>
              <w:autoSpaceDN/>
              <w:ind w:firstLine="0" w:firstLineChars="0"/>
              <w:jc w:val="center"/>
              <w:rPr>
                <w:rFonts w:ascii="Times New Roman" w:hAnsi="Times New Roman" w:eastAsia="宋体"/>
                <w:b/>
                <w:bCs/>
                <w:color w:val="000000"/>
                <w:kern w:val="4"/>
                <w:sz w:val="21"/>
                <w:szCs w:val="21"/>
              </w:rPr>
            </w:pPr>
            <w:r>
              <w:rPr>
                <w:rFonts w:ascii="Times New Roman" w:hAnsi="Times New Roman"/>
                <w:b/>
                <w:bCs/>
                <w:color w:val="000000"/>
                <w:kern w:val="4"/>
                <w:sz w:val="21"/>
                <w:szCs w:val="21"/>
              </w:rPr>
              <w:t>3,138,500</w:t>
            </w:r>
          </w:p>
        </w:tc>
        <w:tc>
          <w:tcPr>
            <w:tcW w:w="1518" w:type="dxa"/>
            <w:vAlign w:val="center"/>
          </w:tcPr>
          <w:p>
            <w:pPr>
              <w:ind w:firstLine="0" w:firstLineChars="0"/>
              <w:jc w:val="center"/>
              <w:rPr>
                <w:rFonts w:ascii="Times New Roman" w:hAnsi="Times New Roman"/>
                <w:b/>
                <w:bCs/>
                <w:color w:val="000000"/>
                <w:kern w:val="4"/>
                <w:sz w:val="21"/>
                <w:szCs w:val="21"/>
              </w:rPr>
            </w:pPr>
            <w:r>
              <w:rPr>
                <w:rFonts w:ascii="Times New Roman" w:hAnsi="Times New Roman"/>
                <w:b/>
                <w:bCs/>
                <w:color w:val="000000"/>
                <w:kern w:val="4"/>
                <w:sz w:val="21"/>
                <w:szCs w:val="21"/>
              </w:rPr>
              <w:t>658,500</w:t>
            </w:r>
          </w:p>
        </w:tc>
        <w:tc>
          <w:tcPr>
            <w:tcW w:w="1819" w:type="dxa"/>
            <w:vAlign w:val="center"/>
          </w:tcPr>
          <w:p>
            <w:pPr>
              <w:ind w:firstLine="0" w:firstLineChars="0"/>
              <w:jc w:val="center"/>
              <w:rPr>
                <w:rFonts w:ascii="Times New Roman" w:hAnsi="Times New Roman"/>
                <w:b/>
                <w:bCs/>
                <w:color w:val="000000"/>
                <w:kern w:val="4"/>
                <w:sz w:val="21"/>
                <w:szCs w:val="21"/>
              </w:rPr>
            </w:pPr>
            <w:r>
              <w:rPr>
                <w:rFonts w:ascii="Times New Roman" w:hAnsi="Times New Roman"/>
                <w:b/>
                <w:bCs/>
                <w:color w:val="000000"/>
                <w:kern w:val="4"/>
                <w:sz w:val="21"/>
                <w:szCs w:val="21"/>
              </w:rPr>
              <w:t>2,480,000</w:t>
            </w:r>
          </w:p>
        </w:tc>
        <w:tc>
          <w:tcPr>
            <w:tcW w:w="1518" w:type="dxa"/>
            <w:vAlign w:val="center"/>
          </w:tcPr>
          <w:p>
            <w:pPr>
              <w:ind w:firstLine="0" w:firstLineChars="0"/>
              <w:jc w:val="center"/>
              <w:rPr>
                <w:rFonts w:ascii="Times New Roman" w:hAnsi="Times New Roman"/>
                <w:b/>
                <w:bCs/>
                <w:color w:val="000000"/>
                <w:kern w:val="4"/>
                <w:sz w:val="21"/>
                <w:szCs w:val="21"/>
              </w:rPr>
            </w:pPr>
            <w:r>
              <w:rPr>
                <w:rFonts w:ascii="Times New Roman" w:hAnsi="Times New Roman"/>
                <w:b/>
                <w:bCs/>
                <w:color w:val="000000"/>
                <w:kern w:val="4"/>
                <w:sz w:val="21"/>
                <w:szCs w:val="21"/>
              </w:rPr>
              <w:t>470,905</w:t>
            </w:r>
          </w:p>
        </w:tc>
        <w:tc>
          <w:tcPr>
            <w:tcW w:w="1819" w:type="dxa"/>
            <w:vAlign w:val="center"/>
          </w:tcPr>
          <w:p>
            <w:pPr>
              <w:ind w:firstLine="0" w:firstLineChars="0"/>
              <w:jc w:val="center"/>
              <w:rPr>
                <w:rFonts w:ascii="Times New Roman" w:hAnsi="Times New Roman"/>
                <w:b/>
                <w:bCs/>
                <w:color w:val="000000"/>
                <w:kern w:val="4"/>
                <w:sz w:val="21"/>
                <w:szCs w:val="21"/>
              </w:rPr>
            </w:pPr>
            <w:r>
              <w:rPr>
                <w:rFonts w:ascii="Times New Roman" w:hAnsi="Times New Roman"/>
                <w:b/>
                <w:bCs/>
                <w:color w:val="000000"/>
                <w:kern w:val="4"/>
                <w:sz w:val="21"/>
                <w:szCs w:val="21"/>
              </w:rPr>
              <w:t>1,211,443</w:t>
            </w:r>
          </w:p>
        </w:tc>
        <w:tc>
          <w:tcPr>
            <w:tcW w:w="1518" w:type="dxa"/>
            <w:vAlign w:val="center"/>
          </w:tcPr>
          <w:p>
            <w:pPr>
              <w:ind w:firstLine="0" w:firstLineChars="0"/>
              <w:jc w:val="center"/>
              <w:rPr>
                <w:rFonts w:ascii="Times New Roman" w:hAnsi="Times New Roman"/>
                <w:b/>
                <w:bCs/>
                <w:color w:val="000000"/>
                <w:kern w:val="4"/>
                <w:sz w:val="21"/>
                <w:szCs w:val="21"/>
              </w:rPr>
            </w:pPr>
            <w:r>
              <w:rPr>
                <w:rFonts w:ascii="Times New Roman" w:hAnsi="Times New Roman"/>
                <w:b/>
                <w:bCs/>
                <w:color w:val="000000"/>
                <w:kern w:val="4"/>
                <w:sz w:val="21"/>
                <w:szCs w:val="21"/>
              </w:rPr>
              <w:t>797,652</w:t>
            </w:r>
          </w:p>
        </w:tc>
        <w:tc>
          <w:tcPr>
            <w:tcW w:w="1130" w:type="dxa"/>
            <w:vAlign w:val="center"/>
          </w:tcPr>
          <w:p>
            <w:pPr>
              <w:ind w:firstLine="0" w:firstLineChars="0"/>
              <w:jc w:val="center"/>
              <w:rPr>
                <w:rFonts w:ascii="Times New Roman" w:hAnsi="Times New Roman"/>
                <w:b/>
                <w:bCs/>
                <w:color w:val="000000"/>
                <w:kern w:val="4"/>
                <w:sz w:val="21"/>
                <w:szCs w:val="21"/>
              </w:rPr>
            </w:pPr>
            <w:r>
              <w:rPr>
                <w:rFonts w:ascii="Times New Roman" w:hAnsi="Times New Roman"/>
                <w:b/>
                <w:bCs/>
                <w:color w:val="000000"/>
                <w:kern w:val="4"/>
                <w:sz w:val="21"/>
                <w:szCs w:val="21"/>
              </w:rPr>
              <w:t>15,470</w:t>
            </w:r>
          </w:p>
        </w:tc>
        <w:tc>
          <w:tcPr>
            <w:tcW w:w="1331" w:type="dxa"/>
            <w:noWrap/>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一</w:t>
            </w:r>
          </w:p>
        </w:tc>
        <w:tc>
          <w:tcPr>
            <w:tcW w:w="2231" w:type="dxa"/>
            <w:noWrap/>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公路项目</w:t>
            </w:r>
          </w:p>
        </w:tc>
        <w:tc>
          <w:tcPr>
            <w:tcW w:w="1051" w:type="dxa"/>
            <w:vAlign w:val="center"/>
          </w:tcPr>
          <w:p>
            <w:pPr>
              <w:widowControl/>
              <w:autoSpaceDE/>
              <w:autoSpaceDN/>
              <w:ind w:firstLine="0" w:firstLineChars="0"/>
              <w:jc w:val="center"/>
              <w:rPr>
                <w:rFonts w:ascii="Times New Roman" w:hAnsi="Times New Roman" w:eastAsia="楷体"/>
                <w:kern w:val="4"/>
                <w:sz w:val="21"/>
                <w:szCs w:val="21"/>
              </w:rPr>
            </w:pPr>
          </w:p>
        </w:tc>
        <w:tc>
          <w:tcPr>
            <w:tcW w:w="1470"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高速（公里）</w:t>
            </w:r>
          </w:p>
        </w:tc>
        <w:tc>
          <w:tcPr>
            <w:tcW w:w="1743"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一级（公里）</w:t>
            </w:r>
          </w:p>
        </w:tc>
        <w:tc>
          <w:tcPr>
            <w:tcW w:w="1542" w:type="dxa"/>
            <w:vAlign w:val="center"/>
          </w:tcPr>
          <w:p>
            <w:pPr>
              <w:widowControl/>
              <w:autoSpaceDE/>
              <w:autoSpaceDN/>
              <w:ind w:firstLine="0" w:firstLineChars="0"/>
              <w:jc w:val="center"/>
              <w:rPr>
                <w:rFonts w:ascii="Times New Roman" w:hAnsi="Times New Roman" w:eastAsia="楷体"/>
                <w:kern w:val="4"/>
                <w:sz w:val="21"/>
                <w:szCs w:val="21"/>
              </w:rPr>
            </w:pPr>
          </w:p>
        </w:tc>
        <w:tc>
          <w:tcPr>
            <w:tcW w:w="1808" w:type="dxa"/>
            <w:vAlign w:val="center"/>
          </w:tcPr>
          <w:p>
            <w:pPr>
              <w:widowControl/>
              <w:autoSpaceDE/>
              <w:autoSpaceDN/>
              <w:ind w:firstLine="0" w:firstLineChars="0"/>
              <w:jc w:val="center"/>
              <w:rPr>
                <w:rFonts w:ascii="Times New Roman" w:hAnsi="Times New Roman" w:eastAsia="宋体"/>
                <w:b/>
                <w:bCs/>
                <w:color w:val="000000"/>
                <w:kern w:val="4"/>
                <w:sz w:val="21"/>
                <w:szCs w:val="21"/>
              </w:rPr>
            </w:pPr>
            <w:r>
              <w:rPr>
                <w:rFonts w:ascii="Times New Roman" w:hAnsi="Times New Roman"/>
                <w:b/>
                <w:bCs/>
                <w:color w:val="000000"/>
                <w:kern w:val="4"/>
                <w:sz w:val="21"/>
                <w:szCs w:val="21"/>
              </w:rPr>
              <w:t>1,033,500</w:t>
            </w:r>
          </w:p>
        </w:tc>
        <w:tc>
          <w:tcPr>
            <w:tcW w:w="1518" w:type="dxa"/>
            <w:vAlign w:val="center"/>
          </w:tcPr>
          <w:p>
            <w:pPr>
              <w:ind w:firstLine="0" w:firstLineChars="0"/>
              <w:jc w:val="center"/>
              <w:rPr>
                <w:rFonts w:ascii="Times New Roman" w:hAnsi="Times New Roman"/>
                <w:b/>
                <w:bCs/>
                <w:color w:val="000000"/>
                <w:kern w:val="4"/>
                <w:sz w:val="21"/>
                <w:szCs w:val="21"/>
              </w:rPr>
            </w:pPr>
            <w:r>
              <w:rPr>
                <w:rFonts w:ascii="Times New Roman" w:hAnsi="Times New Roman"/>
                <w:b/>
                <w:bCs/>
                <w:color w:val="000000"/>
                <w:kern w:val="4"/>
                <w:sz w:val="21"/>
                <w:szCs w:val="21"/>
              </w:rPr>
              <w:t>220,100</w:t>
            </w:r>
          </w:p>
        </w:tc>
        <w:tc>
          <w:tcPr>
            <w:tcW w:w="1819" w:type="dxa"/>
            <w:vAlign w:val="center"/>
          </w:tcPr>
          <w:p>
            <w:pPr>
              <w:ind w:firstLine="0" w:firstLineChars="0"/>
              <w:jc w:val="center"/>
              <w:rPr>
                <w:rFonts w:ascii="Times New Roman" w:hAnsi="Times New Roman"/>
                <w:b/>
                <w:bCs/>
                <w:color w:val="000000"/>
                <w:kern w:val="4"/>
                <w:sz w:val="21"/>
                <w:szCs w:val="21"/>
              </w:rPr>
            </w:pPr>
            <w:r>
              <w:rPr>
                <w:rFonts w:ascii="Times New Roman" w:hAnsi="Times New Roman"/>
                <w:b/>
                <w:bCs/>
                <w:color w:val="000000"/>
                <w:kern w:val="4"/>
                <w:sz w:val="21"/>
                <w:szCs w:val="21"/>
              </w:rPr>
              <w:t>813,400</w:t>
            </w:r>
          </w:p>
        </w:tc>
        <w:tc>
          <w:tcPr>
            <w:tcW w:w="1518" w:type="dxa"/>
            <w:vAlign w:val="center"/>
          </w:tcPr>
          <w:p>
            <w:pPr>
              <w:ind w:firstLine="0" w:firstLineChars="0"/>
              <w:jc w:val="center"/>
              <w:rPr>
                <w:rFonts w:ascii="Times New Roman" w:hAnsi="Times New Roman"/>
                <w:b/>
                <w:bCs/>
                <w:color w:val="000000"/>
                <w:kern w:val="4"/>
                <w:sz w:val="21"/>
                <w:szCs w:val="21"/>
              </w:rPr>
            </w:pPr>
            <w:r>
              <w:rPr>
                <w:rFonts w:ascii="Times New Roman" w:hAnsi="Times New Roman"/>
                <w:b/>
                <w:bCs/>
                <w:color w:val="000000"/>
                <w:kern w:val="4"/>
                <w:sz w:val="21"/>
                <w:szCs w:val="21"/>
              </w:rPr>
              <w:t>107,905</w:t>
            </w:r>
          </w:p>
        </w:tc>
        <w:tc>
          <w:tcPr>
            <w:tcW w:w="1819" w:type="dxa"/>
            <w:vAlign w:val="center"/>
          </w:tcPr>
          <w:p>
            <w:pPr>
              <w:ind w:firstLine="0" w:firstLineChars="0"/>
              <w:jc w:val="center"/>
              <w:rPr>
                <w:rFonts w:ascii="Times New Roman" w:hAnsi="Times New Roman"/>
                <w:b/>
                <w:bCs/>
                <w:color w:val="000000"/>
                <w:kern w:val="4"/>
                <w:sz w:val="21"/>
                <w:szCs w:val="21"/>
              </w:rPr>
            </w:pPr>
            <w:r>
              <w:rPr>
                <w:rFonts w:ascii="Times New Roman" w:hAnsi="Times New Roman"/>
                <w:b/>
                <w:bCs/>
                <w:color w:val="000000"/>
                <w:kern w:val="4"/>
                <w:sz w:val="21"/>
                <w:szCs w:val="21"/>
              </w:rPr>
              <w:t>702,781</w:t>
            </w:r>
          </w:p>
        </w:tc>
        <w:tc>
          <w:tcPr>
            <w:tcW w:w="1518" w:type="dxa"/>
            <w:vAlign w:val="center"/>
          </w:tcPr>
          <w:p>
            <w:pPr>
              <w:ind w:firstLine="0" w:firstLineChars="0"/>
              <w:jc w:val="center"/>
              <w:rPr>
                <w:rFonts w:ascii="Times New Roman" w:hAnsi="Times New Roman"/>
                <w:b/>
                <w:bCs/>
                <w:color w:val="000000"/>
                <w:kern w:val="4"/>
                <w:sz w:val="21"/>
                <w:szCs w:val="21"/>
              </w:rPr>
            </w:pPr>
            <w:r>
              <w:rPr>
                <w:rFonts w:ascii="Times New Roman" w:hAnsi="Times New Roman"/>
                <w:b/>
                <w:bCs/>
                <w:color w:val="000000"/>
                <w:kern w:val="4"/>
                <w:sz w:val="21"/>
                <w:szCs w:val="21"/>
              </w:rPr>
              <w:t>2,714</w:t>
            </w:r>
          </w:p>
        </w:tc>
        <w:tc>
          <w:tcPr>
            <w:tcW w:w="1130" w:type="dxa"/>
            <w:vAlign w:val="center"/>
          </w:tcPr>
          <w:p>
            <w:pPr>
              <w:ind w:firstLine="0" w:firstLineChars="0"/>
              <w:jc w:val="center"/>
              <w:rPr>
                <w:rFonts w:ascii="Times New Roman" w:hAnsi="Times New Roman"/>
                <w:b/>
                <w:bCs/>
                <w:color w:val="000000"/>
                <w:kern w:val="4"/>
                <w:sz w:val="21"/>
                <w:szCs w:val="21"/>
              </w:rPr>
            </w:pPr>
            <w:r>
              <w:rPr>
                <w:rFonts w:ascii="Times New Roman" w:hAnsi="Times New Roman"/>
                <w:b/>
                <w:bCs/>
                <w:color w:val="000000"/>
                <w:kern w:val="4"/>
                <w:sz w:val="21"/>
                <w:szCs w:val="21"/>
              </w:rPr>
              <w:t>9,707</w:t>
            </w:r>
          </w:p>
        </w:tc>
        <w:tc>
          <w:tcPr>
            <w:tcW w:w="1331" w:type="dxa"/>
            <w:noWrap/>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（一）</w:t>
            </w:r>
          </w:p>
        </w:tc>
        <w:tc>
          <w:tcPr>
            <w:tcW w:w="2231" w:type="dxa"/>
            <w:noWrap/>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高速公路</w:t>
            </w:r>
          </w:p>
        </w:tc>
        <w:tc>
          <w:tcPr>
            <w:tcW w:w="1051" w:type="dxa"/>
            <w:vAlign w:val="center"/>
          </w:tcPr>
          <w:p>
            <w:pPr>
              <w:widowControl/>
              <w:autoSpaceDE/>
              <w:autoSpaceDN/>
              <w:ind w:firstLine="0" w:firstLineChars="0"/>
              <w:jc w:val="center"/>
              <w:rPr>
                <w:rFonts w:ascii="Times New Roman" w:hAnsi="Times New Roman" w:eastAsia="楷体"/>
                <w:kern w:val="4"/>
                <w:sz w:val="21"/>
                <w:szCs w:val="21"/>
              </w:rPr>
            </w:pPr>
          </w:p>
        </w:tc>
        <w:tc>
          <w:tcPr>
            <w:tcW w:w="1470"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2</w:t>
            </w:r>
          </w:p>
        </w:tc>
        <w:tc>
          <w:tcPr>
            <w:tcW w:w="1743" w:type="dxa"/>
            <w:vAlign w:val="center"/>
          </w:tcPr>
          <w:p>
            <w:pPr>
              <w:widowControl/>
              <w:autoSpaceDE/>
              <w:autoSpaceDN/>
              <w:ind w:firstLine="0" w:firstLineChars="0"/>
              <w:jc w:val="center"/>
              <w:rPr>
                <w:rFonts w:ascii="Times New Roman" w:hAnsi="Times New Roman" w:eastAsia="楷体"/>
                <w:b/>
                <w:bCs/>
                <w:kern w:val="4"/>
                <w:sz w:val="21"/>
                <w:szCs w:val="21"/>
              </w:rPr>
            </w:pPr>
          </w:p>
        </w:tc>
        <w:tc>
          <w:tcPr>
            <w:tcW w:w="1542" w:type="dxa"/>
            <w:vAlign w:val="center"/>
          </w:tcPr>
          <w:p>
            <w:pPr>
              <w:widowControl/>
              <w:autoSpaceDE/>
              <w:autoSpaceDN/>
              <w:ind w:firstLine="0" w:firstLineChars="0"/>
              <w:jc w:val="center"/>
              <w:rPr>
                <w:rFonts w:ascii="Times New Roman" w:hAnsi="Times New Roman" w:eastAsia="楷体"/>
                <w:b/>
                <w:bCs/>
                <w:kern w:val="4"/>
                <w:sz w:val="21"/>
                <w:szCs w:val="21"/>
              </w:rPr>
            </w:pPr>
          </w:p>
        </w:tc>
        <w:tc>
          <w:tcPr>
            <w:tcW w:w="1808"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15,000</w:t>
            </w:r>
          </w:p>
        </w:tc>
        <w:tc>
          <w:tcPr>
            <w:tcW w:w="1518"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10,400</w:t>
            </w:r>
          </w:p>
        </w:tc>
        <w:tc>
          <w:tcPr>
            <w:tcW w:w="1819"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4,600</w:t>
            </w:r>
          </w:p>
        </w:tc>
        <w:tc>
          <w:tcPr>
            <w:tcW w:w="1518"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1,150</w:t>
            </w:r>
          </w:p>
        </w:tc>
        <w:tc>
          <w:tcPr>
            <w:tcW w:w="1819"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736</w:t>
            </w:r>
          </w:p>
        </w:tc>
        <w:tc>
          <w:tcPr>
            <w:tcW w:w="1518"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2,714</w:t>
            </w:r>
          </w:p>
        </w:tc>
        <w:tc>
          <w:tcPr>
            <w:tcW w:w="1130"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180</w:t>
            </w:r>
          </w:p>
        </w:tc>
        <w:tc>
          <w:tcPr>
            <w:tcW w:w="1331" w:type="dxa"/>
            <w:noWrap/>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w:t>
            </w:r>
          </w:p>
        </w:tc>
        <w:tc>
          <w:tcPr>
            <w:tcW w:w="2231"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溧高高速公路溧水段</w:t>
            </w:r>
          </w:p>
        </w:tc>
        <w:tc>
          <w:tcPr>
            <w:tcW w:w="1051" w:type="dxa"/>
            <w:vAlign w:val="center"/>
          </w:tcPr>
          <w:p>
            <w:pPr>
              <w:widowControl/>
              <w:autoSpaceDE/>
              <w:autoSpaceDN/>
              <w:ind w:firstLine="0" w:firstLineChars="0"/>
              <w:jc w:val="center"/>
              <w:rPr>
                <w:rFonts w:ascii="Times New Roman" w:hAnsi="Times New Roman" w:eastAsia="楷体"/>
                <w:kern w:val="4"/>
                <w:sz w:val="21"/>
                <w:szCs w:val="21"/>
              </w:rPr>
            </w:pPr>
          </w:p>
        </w:tc>
        <w:tc>
          <w:tcPr>
            <w:tcW w:w="1470"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w:t>
            </w:r>
          </w:p>
        </w:tc>
        <w:tc>
          <w:tcPr>
            <w:tcW w:w="1743" w:type="dxa"/>
            <w:vAlign w:val="center"/>
          </w:tcPr>
          <w:p>
            <w:pPr>
              <w:widowControl/>
              <w:autoSpaceDE/>
              <w:autoSpaceDN/>
              <w:ind w:firstLine="0" w:firstLineChars="0"/>
              <w:jc w:val="center"/>
              <w:rPr>
                <w:rFonts w:ascii="Times New Roman" w:hAnsi="Times New Roman" w:eastAsia="楷体"/>
                <w:kern w:val="4"/>
                <w:sz w:val="21"/>
                <w:szCs w:val="21"/>
              </w:rPr>
            </w:pPr>
          </w:p>
        </w:tc>
        <w:tc>
          <w:tcPr>
            <w:tcW w:w="1542"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w:t>
            </w:r>
            <w:r>
              <w:rPr>
                <w:rFonts w:hint="eastAsia" w:ascii="Times New Roman" w:hAnsi="Times New Roman" w:eastAsia="楷体"/>
                <w:kern w:val="4"/>
                <w:sz w:val="21"/>
                <w:szCs w:val="21"/>
              </w:rPr>
              <w:t>6</w:t>
            </w:r>
            <w:r>
              <w:rPr>
                <w:rFonts w:ascii="Times New Roman" w:hAnsi="Times New Roman" w:eastAsia="楷体"/>
                <w:kern w:val="4"/>
                <w:sz w:val="21"/>
                <w:szCs w:val="21"/>
              </w:rPr>
              <w:t>-2017</w:t>
            </w:r>
          </w:p>
        </w:tc>
        <w:tc>
          <w:tcPr>
            <w:tcW w:w="1808"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15,000</w:t>
            </w: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10,400</w:t>
            </w:r>
          </w:p>
        </w:tc>
        <w:tc>
          <w:tcPr>
            <w:tcW w:w="181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4,600</w:t>
            </w: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1,150</w:t>
            </w:r>
          </w:p>
        </w:tc>
        <w:tc>
          <w:tcPr>
            <w:tcW w:w="181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736</w:t>
            </w: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2,714</w:t>
            </w:r>
          </w:p>
        </w:tc>
        <w:tc>
          <w:tcPr>
            <w:tcW w:w="1130"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180</w:t>
            </w:r>
          </w:p>
        </w:tc>
        <w:tc>
          <w:tcPr>
            <w:tcW w:w="1331"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w:t>
            </w:r>
            <w:r>
              <w:rPr>
                <w:rFonts w:hint="eastAsia" w:eastAsia="宋体" w:cs="宋体"/>
                <w:kern w:val="4"/>
                <w:sz w:val="21"/>
                <w:szCs w:val="21"/>
              </w:rPr>
              <w:t>△</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（二）</w:t>
            </w:r>
          </w:p>
        </w:tc>
        <w:tc>
          <w:tcPr>
            <w:tcW w:w="2231" w:type="dxa"/>
            <w:noWrap/>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国省干线</w:t>
            </w:r>
          </w:p>
        </w:tc>
        <w:tc>
          <w:tcPr>
            <w:tcW w:w="1051" w:type="dxa"/>
            <w:vAlign w:val="center"/>
          </w:tcPr>
          <w:p>
            <w:pPr>
              <w:widowControl/>
              <w:autoSpaceDE/>
              <w:autoSpaceDN/>
              <w:ind w:firstLine="0" w:firstLineChars="0"/>
              <w:jc w:val="center"/>
              <w:rPr>
                <w:rFonts w:ascii="Times New Roman" w:hAnsi="Times New Roman" w:eastAsia="楷体"/>
                <w:kern w:val="4"/>
                <w:sz w:val="21"/>
                <w:szCs w:val="21"/>
              </w:rPr>
            </w:pPr>
          </w:p>
        </w:tc>
        <w:tc>
          <w:tcPr>
            <w:tcW w:w="1470" w:type="dxa"/>
            <w:vAlign w:val="center"/>
          </w:tcPr>
          <w:p>
            <w:pPr>
              <w:widowControl/>
              <w:autoSpaceDE/>
              <w:autoSpaceDN/>
              <w:ind w:firstLine="0" w:firstLineChars="0"/>
              <w:jc w:val="center"/>
              <w:rPr>
                <w:rFonts w:ascii="Times New Roman" w:hAnsi="Times New Roman" w:eastAsia="楷体"/>
                <w:b/>
                <w:bCs/>
                <w:kern w:val="4"/>
                <w:sz w:val="21"/>
                <w:szCs w:val="21"/>
              </w:rPr>
            </w:pPr>
          </w:p>
        </w:tc>
        <w:tc>
          <w:tcPr>
            <w:tcW w:w="1743" w:type="dxa"/>
            <w:vAlign w:val="center"/>
          </w:tcPr>
          <w:p>
            <w:pPr>
              <w:widowControl/>
              <w:autoSpaceDE/>
              <w:autoSpaceDN/>
              <w:ind w:firstLine="0" w:firstLineChars="0"/>
              <w:jc w:val="center"/>
              <w:rPr>
                <w:rFonts w:ascii="Times New Roman" w:hAnsi="Times New Roman" w:eastAsia="楷体"/>
                <w:b/>
                <w:bCs/>
                <w:kern w:val="4"/>
                <w:sz w:val="21"/>
                <w:szCs w:val="21"/>
              </w:rPr>
            </w:pPr>
          </w:p>
        </w:tc>
        <w:tc>
          <w:tcPr>
            <w:tcW w:w="1542" w:type="dxa"/>
            <w:vAlign w:val="center"/>
          </w:tcPr>
          <w:p>
            <w:pPr>
              <w:widowControl/>
              <w:autoSpaceDE/>
              <w:autoSpaceDN/>
              <w:ind w:firstLine="0" w:firstLineChars="0"/>
              <w:jc w:val="center"/>
              <w:rPr>
                <w:rFonts w:ascii="Times New Roman" w:hAnsi="Times New Roman" w:eastAsia="楷体"/>
                <w:b/>
                <w:bCs/>
                <w:kern w:val="4"/>
                <w:sz w:val="21"/>
                <w:szCs w:val="21"/>
              </w:rPr>
            </w:pPr>
          </w:p>
        </w:tc>
        <w:tc>
          <w:tcPr>
            <w:tcW w:w="1808" w:type="dxa"/>
            <w:vAlign w:val="center"/>
          </w:tcPr>
          <w:p>
            <w:pPr>
              <w:widowControl/>
              <w:autoSpaceDE/>
              <w:autoSpaceDN/>
              <w:ind w:firstLine="0" w:firstLineChars="0"/>
              <w:jc w:val="center"/>
              <w:rPr>
                <w:rFonts w:ascii="Times New Roman" w:hAnsi="Times New Roman" w:eastAsia="宋体"/>
                <w:b/>
                <w:bCs/>
                <w:color w:val="000000"/>
                <w:kern w:val="4"/>
                <w:sz w:val="21"/>
                <w:szCs w:val="21"/>
              </w:rPr>
            </w:pPr>
            <w:r>
              <w:rPr>
                <w:rFonts w:ascii="Times New Roman" w:hAnsi="Times New Roman"/>
                <w:b/>
                <w:bCs/>
                <w:color w:val="000000"/>
                <w:sz w:val="21"/>
                <w:szCs w:val="21"/>
              </w:rPr>
              <w:t>688,000</w:t>
            </w:r>
          </w:p>
        </w:tc>
        <w:tc>
          <w:tcPr>
            <w:tcW w:w="1518" w:type="dxa"/>
            <w:vAlign w:val="center"/>
          </w:tcPr>
          <w:p>
            <w:pPr>
              <w:ind w:firstLine="0" w:firstLineChars="0"/>
              <w:jc w:val="center"/>
              <w:rPr>
                <w:rFonts w:ascii="Times New Roman" w:hAnsi="Times New Roman"/>
                <w:b/>
                <w:bCs/>
                <w:color w:val="000000"/>
                <w:kern w:val="4"/>
                <w:sz w:val="21"/>
                <w:szCs w:val="21"/>
              </w:rPr>
            </w:pPr>
            <w:r>
              <w:rPr>
                <w:rFonts w:ascii="Times New Roman" w:hAnsi="Times New Roman"/>
                <w:b/>
                <w:bCs/>
                <w:color w:val="000000"/>
                <w:sz w:val="21"/>
                <w:szCs w:val="21"/>
              </w:rPr>
              <w:t>209,700</w:t>
            </w:r>
          </w:p>
        </w:tc>
        <w:tc>
          <w:tcPr>
            <w:tcW w:w="1819" w:type="dxa"/>
            <w:vAlign w:val="center"/>
          </w:tcPr>
          <w:p>
            <w:pPr>
              <w:ind w:firstLine="0" w:firstLineChars="0"/>
              <w:jc w:val="center"/>
              <w:rPr>
                <w:rFonts w:ascii="Times New Roman" w:hAnsi="Times New Roman"/>
                <w:b/>
                <w:bCs/>
                <w:color w:val="000000"/>
                <w:kern w:val="4"/>
                <w:sz w:val="21"/>
                <w:szCs w:val="21"/>
              </w:rPr>
            </w:pPr>
            <w:r>
              <w:rPr>
                <w:rFonts w:ascii="Times New Roman" w:hAnsi="Times New Roman"/>
                <w:b/>
                <w:bCs/>
                <w:color w:val="000000"/>
                <w:sz w:val="21"/>
                <w:szCs w:val="21"/>
              </w:rPr>
              <w:t>478,300</w:t>
            </w:r>
          </w:p>
        </w:tc>
        <w:tc>
          <w:tcPr>
            <w:tcW w:w="1518" w:type="dxa"/>
            <w:vAlign w:val="center"/>
          </w:tcPr>
          <w:p>
            <w:pPr>
              <w:ind w:firstLine="0" w:firstLineChars="0"/>
              <w:jc w:val="center"/>
              <w:rPr>
                <w:rFonts w:ascii="Times New Roman" w:hAnsi="Times New Roman"/>
                <w:b/>
                <w:bCs/>
                <w:color w:val="000000"/>
                <w:kern w:val="4"/>
                <w:sz w:val="21"/>
                <w:szCs w:val="21"/>
              </w:rPr>
            </w:pPr>
            <w:r>
              <w:rPr>
                <w:rFonts w:ascii="Times New Roman" w:hAnsi="Times New Roman"/>
                <w:b/>
                <w:bCs/>
                <w:color w:val="000000"/>
                <w:sz w:val="21"/>
                <w:szCs w:val="21"/>
              </w:rPr>
              <w:t>48,825</w:t>
            </w:r>
          </w:p>
        </w:tc>
        <w:tc>
          <w:tcPr>
            <w:tcW w:w="1819" w:type="dxa"/>
            <w:vAlign w:val="center"/>
          </w:tcPr>
          <w:p>
            <w:pPr>
              <w:ind w:firstLine="0" w:firstLineChars="0"/>
              <w:jc w:val="center"/>
              <w:rPr>
                <w:rFonts w:ascii="Times New Roman" w:hAnsi="Times New Roman"/>
                <w:b/>
                <w:bCs/>
                <w:color w:val="000000"/>
                <w:kern w:val="4"/>
                <w:sz w:val="21"/>
                <w:szCs w:val="21"/>
              </w:rPr>
            </w:pPr>
            <w:r>
              <w:rPr>
                <w:rFonts w:ascii="Times New Roman" w:hAnsi="Times New Roman"/>
                <w:b/>
                <w:bCs/>
                <w:color w:val="000000"/>
                <w:sz w:val="21"/>
                <w:szCs w:val="21"/>
              </w:rPr>
              <w:t>429,475</w:t>
            </w:r>
          </w:p>
        </w:tc>
        <w:tc>
          <w:tcPr>
            <w:tcW w:w="1518" w:type="dxa"/>
            <w:vAlign w:val="center"/>
          </w:tcPr>
          <w:p>
            <w:pPr>
              <w:ind w:firstLine="0" w:firstLineChars="0"/>
              <w:jc w:val="center"/>
              <w:rPr>
                <w:rFonts w:ascii="Times New Roman" w:hAnsi="Times New Roman"/>
                <w:b/>
                <w:bCs/>
                <w:color w:val="000000"/>
                <w:kern w:val="4"/>
                <w:sz w:val="21"/>
                <w:szCs w:val="21"/>
              </w:rPr>
            </w:pPr>
          </w:p>
        </w:tc>
        <w:tc>
          <w:tcPr>
            <w:tcW w:w="1130" w:type="dxa"/>
            <w:vAlign w:val="center"/>
          </w:tcPr>
          <w:p>
            <w:pPr>
              <w:ind w:firstLine="0" w:firstLineChars="0"/>
              <w:jc w:val="center"/>
              <w:rPr>
                <w:rFonts w:ascii="Times New Roman" w:hAnsi="Times New Roman"/>
                <w:b/>
                <w:bCs/>
                <w:color w:val="000000"/>
                <w:kern w:val="4"/>
                <w:sz w:val="21"/>
                <w:szCs w:val="21"/>
              </w:rPr>
            </w:pPr>
            <w:r>
              <w:rPr>
                <w:rFonts w:ascii="Times New Roman" w:hAnsi="Times New Roman"/>
                <w:b/>
                <w:bCs/>
                <w:color w:val="000000"/>
                <w:sz w:val="21"/>
                <w:szCs w:val="21"/>
              </w:rPr>
              <w:t>4,16</w:t>
            </w:r>
            <w:r>
              <w:rPr>
                <w:rFonts w:hint="eastAsia" w:ascii="Times New Roman" w:hAnsi="Times New Roman"/>
                <w:b/>
                <w:bCs/>
                <w:color w:val="000000"/>
                <w:sz w:val="21"/>
                <w:szCs w:val="21"/>
              </w:rPr>
              <w:t>7</w:t>
            </w:r>
          </w:p>
        </w:tc>
        <w:tc>
          <w:tcPr>
            <w:tcW w:w="1331" w:type="dxa"/>
            <w:noWrap/>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w:t>
            </w:r>
          </w:p>
        </w:tc>
        <w:tc>
          <w:tcPr>
            <w:tcW w:w="2231"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S204溧水段</w:t>
            </w:r>
          </w:p>
        </w:tc>
        <w:tc>
          <w:tcPr>
            <w:tcW w:w="105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改扩建</w:t>
            </w:r>
          </w:p>
        </w:tc>
        <w:tc>
          <w:tcPr>
            <w:tcW w:w="1470" w:type="dxa"/>
            <w:vAlign w:val="center"/>
          </w:tcPr>
          <w:p>
            <w:pPr>
              <w:widowControl/>
              <w:autoSpaceDE/>
              <w:autoSpaceDN/>
              <w:ind w:firstLine="0" w:firstLineChars="0"/>
              <w:jc w:val="center"/>
              <w:rPr>
                <w:rFonts w:ascii="Times New Roman" w:hAnsi="Times New Roman" w:eastAsia="楷体"/>
                <w:kern w:val="4"/>
                <w:sz w:val="21"/>
                <w:szCs w:val="21"/>
              </w:rPr>
            </w:pPr>
          </w:p>
        </w:tc>
        <w:tc>
          <w:tcPr>
            <w:tcW w:w="1743"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52.37</w:t>
            </w:r>
          </w:p>
        </w:tc>
        <w:tc>
          <w:tcPr>
            <w:tcW w:w="1542"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2017-2019</w:t>
            </w:r>
          </w:p>
        </w:tc>
        <w:tc>
          <w:tcPr>
            <w:tcW w:w="1808" w:type="dxa"/>
            <w:vAlign w:val="center"/>
          </w:tcPr>
          <w:p>
            <w:pPr>
              <w:widowControl/>
              <w:autoSpaceDE/>
              <w:autoSpaceDN/>
              <w:ind w:firstLine="0" w:firstLineChars="0"/>
              <w:jc w:val="center"/>
              <w:rPr>
                <w:rFonts w:ascii="Times New Roman" w:hAnsi="Times New Roman" w:eastAsia="宋体"/>
                <w:kern w:val="4"/>
                <w:sz w:val="21"/>
                <w:szCs w:val="21"/>
              </w:rPr>
            </w:pPr>
            <w:r>
              <w:rPr>
                <w:rFonts w:ascii="Times New Roman" w:hAnsi="Times New Roman"/>
                <w:kern w:val="4"/>
                <w:sz w:val="21"/>
                <w:szCs w:val="21"/>
              </w:rPr>
              <w:t>383,000</w:t>
            </w:r>
          </w:p>
        </w:tc>
        <w:tc>
          <w:tcPr>
            <w:tcW w:w="1518" w:type="dxa"/>
            <w:vAlign w:val="center"/>
          </w:tcPr>
          <w:p>
            <w:pPr>
              <w:ind w:firstLine="0" w:firstLineChars="0"/>
              <w:jc w:val="center"/>
              <w:rPr>
                <w:rFonts w:ascii="Times New Roman" w:hAnsi="Times New Roman"/>
                <w:kern w:val="4"/>
                <w:sz w:val="21"/>
                <w:szCs w:val="21"/>
              </w:rPr>
            </w:pPr>
          </w:p>
        </w:tc>
        <w:tc>
          <w:tcPr>
            <w:tcW w:w="1819" w:type="dxa"/>
            <w:vAlign w:val="center"/>
          </w:tcPr>
          <w:p>
            <w:pPr>
              <w:ind w:firstLine="0" w:firstLineChars="0"/>
              <w:jc w:val="center"/>
              <w:rPr>
                <w:rFonts w:ascii="Times New Roman" w:hAnsi="Times New Roman"/>
                <w:kern w:val="4"/>
                <w:sz w:val="21"/>
                <w:szCs w:val="21"/>
              </w:rPr>
            </w:pPr>
            <w:r>
              <w:rPr>
                <w:rFonts w:ascii="Times New Roman" w:hAnsi="Times New Roman"/>
                <w:kern w:val="4"/>
                <w:sz w:val="21"/>
                <w:szCs w:val="21"/>
              </w:rPr>
              <w:t>383,000</w:t>
            </w:r>
          </w:p>
        </w:tc>
        <w:tc>
          <w:tcPr>
            <w:tcW w:w="1518" w:type="dxa"/>
            <w:vAlign w:val="center"/>
          </w:tcPr>
          <w:p>
            <w:pPr>
              <w:ind w:firstLine="0" w:firstLineChars="0"/>
              <w:jc w:val="center"/>
              <w:rPr>
                <w:rFonts w:ascii="Times New Roman" w:hAnsi="Times New Roman"/>
                <w:kern w:val="4"/>
                <w:sz w:val="21"/>
                <w:szCs w:val="21"/>
              </w:rPr>
            </w:pPr>
            <w:r>
              <w:rPr>
                <w:rFonts w:ascii="Times New Roman" w:hAnsi="Times New Roman"/>
                <w:kern w:val="4"/>
                <w:sz w:val="21"/>
                <w:szCs w:val="21"/>
              </w:rPr>
              <w:t>25,350</w:t>
            </w:r>
          </w:p>
        </w:tc>
        <w:tc>
          <w:tcPr>
            <w:tcW w:w="1819" w:type="dxa"/>
            <w:vAlign w:val="center"/>
          </w:tcPr>
          <w:p>
            <w:pPr>
              <w:ind w:firstLine="0" w:firstLineChars="0"/>
              <w:jc w:val="center"/>
              <w:rPr>
                <w:rFonts w:ascii="Times New Roman" w:hAnsi="Times New Roman"/>
                <w:kern w:val="4"/>
                <w:sz w:val="21"/>
                <w:szCs w:val="21"/>
              </w:rPr>
            </w:pPr>
            <w:r>
              <w:rPr>
                <w:rFonts w:ascii="Times New Roman" w:hAnsi="Times New Roman"/>
                <w:kern w:val="4"/>
                <w:sz w:val="21"/>
                <w:szCs w:val="21"/>
              </w:rPr>
              <w:t>357,650</w:t>
            </w:r>
          </w:p>
        </w:tc>
        <w:tc>
          <w:tcPr>
            <w:tcW w:w="1518" w:type="dxa"/>
            <w:vAlign w:val="center"/>
          </w:tcPr>
          <w:p>
            <w:pPr>
              <w:ind w:firstLine="0" w:firstLineChars="0"/>
              <w:jc w:val="center"/>
              <w:rPr>
                <w:rFonts w:ascii="Times New Roman" w:hAnsi="Times New Roman"/>
                <w:kern w:val="4"/>
                <w:sz w:val="21"/>
                <w:szCs w:val="21"/>
              </w:rPr>
            </w:pPr>
          </w:p>
        </w:tc>
        <w:tc>
          <w:tcPr>
            <w:tcW w:w="1130" w:type="dxa"/>
            <w:vAlign w:val="center"/>
          </w:tcPr>
          <w:p>
            <w:pPr>
              <w:ind w:firstLine="0" w:firstLineChars="0"/>
              <w:jc w:val="center"/>
              <w:rPr>
                <w:rFonts w:ascii="Times New Roman" w:hAnsi="Times New Roman"/>
                <w:kern w:val="4"/>
                <w:sz w:val="21"/>
                <w:szCs w:val="21"/>
              </w:rPr>
            </w:pPr>
            <w:r>
              <w:rPr>
                <w:rFonts w:ascii="Times New Roman" w:hAnsi="Times New Roman"/>
                <w:kern w:val="4"/>
                <w:sz w:val="21"/>
                <w:szCs w:val="21"/>
              </w:rPr>
              <w:t>1,927</w:t>
            </w:r>
          </w:p>
        </w:tc>
        <w:tc>
          <w:tcPr>
            <w:tcW w:w="1331"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w:t>
            </w:r>
            <w:r>
              <w:rPr>
                <w:rFonts w:hint="eastAsia" w:eastAsia="宋体" w:cs="宋体"/>
                <w:kern w:val="4"/>
                <w:sz w:val="21"/>
                <w:szCs w:val="21"/>
              </w:rPr>
              <w:t>△</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3</w:t>
            </w:r>
          </w:p>
        </w:tc>
        <w:tc>
          <w:tcPr>
            <w:tcW w:w="2231"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S341溧水段</w:t>
            </w:r>
          </w:p>
        </w:tc>
        <w:tc>
          <w:tcPr>
            <w:tcW w:w="105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续建</w:t>
            </w:r>
          </w:p>
        </w:tc>
        <w:tc>
          <w:tcPr>
            <w:tcW w:w="1470" w:type="dxa"/>
            <w:vAlign w:val="center"/>
          </w:tcPr>
          <w:p>
            <w:pPr>
              <w:widowControl/>
              <w:autoSpaceDE/>
              <w:autoSpaceDN/>
              <w:ind w:firstLine="0" w:firstLineChars="0"/>
              <w:jc w:val="center"/>
              <w:rPr>
                <w:rFonts w:ascii="Times New Roman" w:hAnsi="Times New Roman" w:eastAsia="楷体"/>
                <w:kern w:val="4"/>
                <w:sz w:val="21"/>
                <w:szCs w:val="21"/>
              </w:rPr>
            </w:pPr>
          </w:p>
        </w:tc>
        <w:tc>
          <w:tcPr>
            <w:tcW w:w="1743"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34.91</w:t>
            </w:r>
          </w:p>
        </w:tc>
        <w:tc>
          <w:tcPr>
            <w:tcW w:w="1542"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2013-2016</w:t>
            </w:r>
          </w:p>
        </w:tc>
        <w:tc>
          <w:tcPr>
            <w:tcW w:w="1808" w:type="dxa"/>
            <w:vAlign w:val="center"/>
          </w:tcPr>
          <w:p>
            <w:pPr>
              <w:widowControl/>
              <w:autoSpaceDE/>
              <w:autoSpaceDN/>
              <w:ind w:firstLine="0" w:firstLineChars="0"/>
              <w:jc w:val="center"/>
              <w:rPr>
                <w:rFonts w:ascii="Times New Roman" w:hAnsi="Times New Roman" w:eastAsia="宋体"/>
                <w:kern w:val="4"/>
                <w:sz w:val="21"/>
                <w:szCs w:val="21"/>
              </w:rPr>
            </w:pPr>
            <w:r>
              <w:rPr>
                <w:rFonts w:ascii="Times New Roman" w:hAnsi="Times New Roman"/>
                <w:kern w:val="4"/>
                <w:sz w:val="21"/>
                <w:szCs w:val="21"/>
              </w:rPr>
              <w:t>143,700</w:t>
            </w:r>
          </w:p>
        </w:tc>
        <w:tc>
          <w:tcPr>
            <w:tcW w:w="1518" w:type="dxa"/>
            <w:vAlign w:val="center"/>
          </w:tcPr>
          <w:p>
            <w:pPr>
              <w:ind w:firstLine="0" w:firstLineChars="0"/>
              <w:jc w:val="center"/>
              <w:rPr>
                <w:rFonts w:ascii="Times New Roman" w:hAnsi="Times New Roman"/>
                <w:kern w:val="4"/>
                <w:sz w:val="21"/>
                <w:szCs w:val="21"/>
              </w:rPr>
            </w:pPr>
            <w:r>
              <w:rPr>
                <w:rFonts w:ascii="Times New Roman" w:hAnsi="Times New Roman"/>
                <w:kern w:val="4"/>
                <w:sz w:val="21"/>
                <w:szCs w:val="21"/>
              </w:rPr>
              <w:t>115,000</w:t>
            </w:r>
          </w:p>
        </w:tc>
        <w:tc>
          <w:tcPr>
            <w:tcW w:w="1819" w:type="dxa"/>
            <w:vAlign w:val="center"/>
          </w:tcPr>
          <w:p>
            <w:pPr>
              <w:ind w:firstLine="0" w:firstLineChars="0"/>
              <w:jc w:val="center"/>
              <w:rPr>
                <w:rFonts w:ascii="Times New Roman" w:hAnsi="Times New Roman"/>
                <w:kern w:val="4"/>
                <w:sz w:val="21"/>
                <w:szCs w:val="21"/>
              </w:rPr>
            </w:pPr>
            <w:r>
              <w:rPr>
                <w:rFonts w:ascii="Times New Roman" w:hAnsi="Times New Roman"/>
                <w:kern w:val="4"/>
                <w:sz w:val="21"/>
                <w:szCs w:val="21"/>
              </w:rPr>
              <w:t>28,700</w:t>
            </w:r>
          </w:p>
        </w:tc>
        <w:tc>
          <w:tcPr>
            <w:tcW w:w="1518" w:type="dxa"/>
            <w:vAlign w:val="center"/>
          </w:tcPr>
          <w:p>
            <w:pPr>
              <w:ind w:firstLine="0" w:firstLineChars="0"/>
              <w:jc w:val="center"/>
              <w:rPr>
                <w:rFonts w:ascii="Times New Roman" w:hAnsi="Times New Roman"/>
                <w:kern w:val="4"/>
                <w:sz w:val="21"/>
                <w:szCs w:val="21"/>
              </w:rPr>
            </w:pPr>
            <w:r>
              <w:rPr>
                <w:rFonts w:ascii="Times New Roman" w:hAnsi="Times New Roman"/>
                <w:kern w:val="4"/>
                <w:sz w:val="21"/>
                <w:szCs w:val="21"/>
              </w:rPr>
              <w:t>6,950</w:t>
            </w:r>
          </w:p>
        </w:tc>
        <w:tc>
          <w:tcPr>
            <w:tcW w:w="1819" w:type="dxa"/>
            <w:vAlign w:val="center"/>
          </w:tcPr>
          <w:p>
            <w:pPr>
              <w:ind w:firstLine="0" w:firstLineChars="0"/>
              <w:jc w:val="center"/>
              <w:rPr>
                <w:rFonts w:ascii="Times New Roman" w:hAnsi="Times New Roman"/>
                <w:kern w:val="4"/>
                <w:sz w:val="21"/>
                <w:szCs w:val="21"/>
              </w:rPr>
            </w:pPr>
            <w:r>
              <w:rPr>
                <w:rFonts w:ascii="Times New Roman" w:hAnsi="Times New Roman"/>
                <w:kern w:val="4"/>
                <w:sz w:val="21"/>
                <w:szCs w:val="21"/>
              </w:rPr>
              <w:t>21,750</w:t>
            </w:r>
          </w:p>
        </w:tc>
        <w:tc>
          <w:tcPr>
            <w:tcW w:w="1518" w:type="dxa"/>
            <w:vAlign w:val="center"/>
          </w:tcPr>
          <w:p>
            <w:pPr>
              <w:ind w:firstLine="0" w:firstLineChars="0"/>
              <w:jc w:val="center"/>
              <w:rPr>
                <w:rFonts w:ascii="Times New Roman" w:hAnsi="Times New Roman"/>
                <w:kern w:val="4"/>
                <w:sz w:val="21"/>
                <w:szCs w:val="21"/>
              </w:rPr>
            </w:pPr>
          </w:p>
        </w:tc>
        <w:tc>
          <w:tcPr>
            <w:tcW w:w="1130" w:type="dxa"/>
            <w:vAlign w:val="center"/>
          </w:tcPr>
          <w:p>
            <w:pPr>
              <w:ind w:firstLine="0" w:firstLineChars="0"/>
              <w:jc w:val="center"/>
              <w:rPr>
                <w:rFonts w:ascii="Times New Roman" w:hAnsi="Times New Roman"/>
                <w:kern w:val="4"/>
                <w:sz w:val="21"/>
                <w:szCs w:val="21"/>
              </w:rPr>
            </w:pPr>
            <w:r>
              <w:rPr>
                <w:rFonts w:ascii="Times New Roman" w:hAnsi="Times New Roman"/>
                <w:kern w:val="4"/>
                <w:sz w:val="21"/>
                <w:szCs w:val="21"/>
              </w:rPr>
              <w:t>198</w:t>
            </w:r>
          </w:p>
        </w:tc>
        <w:tc>
          <w:tcPr>
            <w:tcW w:w="1331"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○，含公路收费站建设和工区</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4</w:t>
            </w:r>
          </w:p>
        </w:tc>
        <w:tc>
          <w:tcPr>
            <w:tcW w:w="2231"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S340溧水段</w:t>
            </w:r>
          </w:p>
        </w:tc>
        <w:tc>
          <w:tcPr>
            <w:tcW w:w="105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续建</w:t>
            </w:r>
          </w:p>
        </w:tc>
        <w:tc>
          <w:tcPr>
            <w:tcW w:w="1470" w:type="dxa"/>
            <w:vAlign w:val="center"/>
          </w:tcPr>
          <w:p>
            <w:pPr>
              <w:widowControl/>
              <w:autoSpaceDE/>
              <w:autoSpaceDN/>
              <w:ind w:firstLine="0" w:firstLineChars="0"/>
              <w:jc w:val="center"/>
              <w:rPr>
                <w:rFonts w:ascii="Times New Roman" w:hAnsi="Times New Roman" w:eastAsia="楷体"/>
                <w:kern w:val="4"/>
                <w:sz w:val="21"/>
                <w:szCs w:val="21"/>
              </w:rPr>
            </w:pPr>
          </w:p>
        </w:tc>
        <w:tc>
          <w:tcPr>
            <w:tcW w:w="1743"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17.77</w:t>
            </w:r>
          </w:p>
        </w:tc>
        <w:tc>
          <w:tcPr>
            <w:tcW w:w="1542"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2011-2017</w:t>
            </w:r>
          </w:p>
        </w:tc>
        <w:tc>
          <w:tcPr>
            <w:tcW w:w="1808" w:type="dxa"/>
            <w:vAlign w:val="center"/>
          </w:tcPr>
          <w:p>
            <w:pPr>
              <w:ind w:firstLine="0" w:firstLineChars="0"/>
              <w:jc w:val="center"/>
              <w:rPr>
                <w:rFonts w:ascii="Times New Roman" w:hAnsi="Times New Roman"/>
                <w:kern w:val="4"/>
                <w:sz w:val="21"/>
                <w:szCs w:val="21"/>
              </w:rPr>
            </w:pPr>
            <w:r>
              <w:rPr>
                <w:rFonts w:ascii="Times New Roman" w:hAnsi="Times New Roman"/>
                <w:kern w:val="4"/>
                <w:sz w:val="21"/>
                <w:szCs w:val="21"/>
              </w:rPr>
              <w:t>57,600</w:t>
            </w:r>
          </w:p>
        </w:tc>
        <w:tc>
          <w:tcPr>
            <w:tcW w:w="1518" w:type="dxa"/>
            <w:vAlign w:val="center"/>
          </w:tcPr>
          <w:p>
            <w:pPr>
              <w:ind w:firstLine="0" w:firstLineChars="0"/>
              <w:jc w:val="center"/>
              <w:rPr>
                <w:rFonts w:ascii="Times New Roman" w:hAnsi="Times New Roman"/>
                <w:kern w:val="4"/>
                <w:sz w:val="21"/>
                <w:szCs w:val="21"/>
              </w:rPr>
            </w:pPr>
            <w:r>
              <w:rPr>
                <w:rFonts w:ascii="Times New Roman" w:hAnsi="Times New Roman"/>
                <w:kern w:val="4"/>
                <w:sz w:val="21"/>
                <w:szCs w:val="21"/>
              </w:rPr>
              <w:t>40,000</w:t>
            </w:r>
          </w:p>
        </w:tc>
        <w:tc>
          <w:tcPr>
            <w:tcW w:w="1819" w:type="dxa"/>
            <w:vAlign w:val="center"/>
          </w:tcPr>
          <w:p>
            <w:pPr>
              <w:ind w:firstLine="0" w:firstLineChars="0"/>
              <w:jc w:val="center"/>
              <w:rPr>
                <w:rFonts w:ascii="Times New Roman" w:hAnsi="Times New Roman"/>
                <w:kern w:val="4"/>
                <w:sz w:val="21"/>
                <w:szCs w:val="21"/>
              </w:rPr>
            </w:pPr>
            <w:r>
              <w:rPr>
                <w:rFonts w:ascii="Times New Roman" w:hAnsi="Times New Roman"/>
                <w:kern w:val="4"/>
                <w:sz w:val="21"/>
                <w:szCs w:val="21"/>
              </w:rPr>
              <w:t>17,600</w:t>
            </w:r>
          </w:p>
        </w:tc>
        <w:tc>
          <w:tcPr>
            <w:tcW w:w="1518" w:type="dxa"/>
            <w:vAlign w:val="center"/>
          </w:tcPr>
          <w:p>
            <w:pPr>
              <w:ind w:firstLine="0" w:firstLineChars="0"/>
              <w:jc w:val="center"/>
              <w:rPr>
                <w:rFonts w:ascii="Times New Roman" w:hAnsi="Times New Roman"/>
                <w:kern w:val="4"/>
                <w:sz w:val="21"/>
                <w:szCs w:val="21"/>
              </w:rPr>
            </w:pPr>
            <w:r>
              <w:rPr>
                <w:rFonts w:ascii="Times New Roman" w:hAnsi="Times New Roman"/>
                <w:kern w:val="4"/>
                <w:sz w:val="21"/>
                <w:szCs w:val="21"/>
              </w:rPr>
              <w:t>6,585</w:t>
            </w:r>
          </w:p>
        </w:tc>
        <w:tc>
          <w:tcPr>
            <w:tcW w:w="1819" w:type="dxa"/>
            <w:vAlign w:val="center"/>
          </w:tcPr>
          <w:p>
            <w:pPr>
              <w:ind w:firstLine="0" w:firstLineChars="0"/>
              <w:jc w:val="center"/>
              <w:rPr>
                <w:rFonts w:ascii="Times New Roman" w:hAnsi="Times New Roman"/>
                <w:kern w:val="4"/>
                <w:sz w:val="21"/>
                <w:szCs w:val="21"/>
              </w:rPr>
            </w:pPr>
            <w:r>
              <w:rPr>
                <w:rFonts w:ascii="Times New Roman" w:hAnsi="Times New Roman"/>
                <w:kern w:val="4"/>
                <w:sz w:val="21"/>
                <w:szCs w:val="21"/>
              </w:rPr>
              <w:t>11,015</w:t>
            </w:r>
          </w:p>
        </w:tc>
        <w:tc>
          <w:tcPr>
            <w:tcW w:w="1518" w:type="dxa"/>
            <w:vAlign w:val="center"/>
          </w:tcPr>
          <w:p>
            <w:pPr>
              <w:ind w:firstLine="0" w:firstLineChars="0"/>
              <w:jc w:val="center"/>
              <w:rPr>
                <w:rFonts w:ascii="Times New Roman" w:hAnsi="Times New Roman"/>
                <w:kern w:val="4"/>
                <w:sz w:val="21"/>
                <w:szCs w:val="21"/>
              </w:rPr>
            </w:pPr>
          </w:p>
        </w:tc>
        <w:tc>
          <w:tcPr>
            <w:tcW w:w="1130" w:type="dxa"/>
            <w:vAlign w:val="center"/>
          </w:tcPr>
          <w:p>
            <w:pPr>
              <w:ind w:firstLine="0" w:firstLineChars="0"/>
              <w:jc w:val="center"/>
              <w:rPr>
                <w:rFonts w:ascii="Times New Roman" w:hAnsi="Times New Roman"/>
                <w:kern w:val="4"/>
                <w:sz w:val="21"/>
                <w:szCs w:val="21"/>
              </w:rPr>
            </w:pPr>
            <w:r>
              <w:rPr>
                <w:rFonts w:ascii="Times New Roman" w:hAnsi="Times New Roman"/>
                <w:kern w:val="4"/>
                <w:sz w:val="21"/>
                <w:szCs w:val="21"/>
              </w:rPr>
              <w:t>1,040</w:t>
            </w:r>
          </w:p>
        </w:tc>
        <w:tc>
          <w:tcPr>
            <w:tcW w:w="1331"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w:t>
            </w:r>
            <w:r>
              <w:rPr>
                <w:rFonts w:hint="eastAsia" w:eastAsia="宋体" w:cs="宋体"/>
                <w:kern w:val="4"/>
                <w:sz w:val="21"/>
                <w:szCs w:val="21"/>
              </w:rPr>
              <w:t>△</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5</w:t>
            </w:r>
          </w:p>
        </w:tc>
        <w:tc>
          <w:tcPr>
            <w:tcW w:w="2231"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S246溧水北延段</w:t>
            </w:r>
          </w:p>
        </w:tc>
        <w:tc>
          <w:tcPr>
            <w:tcW w:w="105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续建</w:t>
            </w:r>
          </w:p>
        </w:tc>
        <w:tc>
          <w:tcPr>
            <w:tcW w:w="1470" w:type="dxa"/>
            <w:vAlign w:val="center"/>
          </w:tcPr>
          <w:p>
            <w:pPr>
              <w:widowControl/>
              <w:autoSpaceDE/>
              <w:autoSpaceDN/>
              <w:ind w:firstLine="0" w:firstLineChars="0"/>
              <w:jc w:val="center"/>
              <w:rPr>
                <w:rFonts w:ascii="Times New Roman" w:hAnsi="Times New Roman" w:eastAsia="楷体"/>
                <w:kern w:val="4"/>
                <w:sz w:val="21"/>
                <w:szCs w:val="21"/>
              </w:rPr>
            </w:pPr>
          </w:p>
        </w:tc>
        <w:tc>
          <w:tcPr>
            <w:tcW w:w="1743"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13.88</w:t>
            </w:r>
          </w:p>
        </w:tc>
        <w:tc>
          <w:tcPr>
            <w:tcW w:w="1542"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2014-2016</w:t>
            </w:r>
          </w:p>
        </w:tc>
        <w:tc>
          <w:tcPr>
            <w:tcW w:w="1808" w:type="dxa"/>
            <w:vAlign w:val="center"/>
          </w:tcPr>
          <w:p>
            <w:pPr>
              <w:ind w:firstLine="0" w:firstLineChars="0"/>
              <w:jc w:val="center"/>
              <w:rPr>
                <w:rFonts w:ascii="Times New Roman" w:hAnsi="Times New Roman"/>
                <w:kern w:val="4"/>
                <w:sz w:val="21"/>
                <w:szCs w:val="21"/>
              </w:rPr>
            </w:pPr>
            <w:r>
              <w:rPr>
                <w:rFonts w:ascii="Times New Roman" w:hAnsi="Times New Roman"/>
                <w:kern w:val="4"/>
                <w:sz w:val="21"/>
                <w:szCs w:val="21"/>
              </w:rPr>
              <w:t>73,700</w:t>
            </w:r>
          </w:p>
        </w:tc>
        <w:tc>
          <w:tcPr>
            <w:tcW w:w="1518" w:type="dxa"/>
            <w:vAlign w:val="center"/>
          </w:tcPr>
          <w:p>
            <w:pPr>
              <w:ind w:firstLine="0" w:firstLineChars="0"/>
              <w:jc w:val="center"/>
              <w:rPr>
                <w:rFonts w:ascii="Times New Roman" w:hAnsi="Times New Roman"/>
                <w:kern w:val="4"/>
                <w:sz w:val="21"/>
                <w:szCs w:val="21"/>
              </w:rPr>
            </w:pPr>
            <w:r>
              <w:rPr>
                <w:rFonts w:ascii="Times New Roman" w:hAnsi="Times New Roman"/>
                <w:kern w:val="4"/>
                <w:sz w:val="21"/>
                <w:szCs w:val="21"/>
              </w:rPr>
              <w:t>54,700</w:t>
            </w:r>
          </w:p>
        </w:tc>
        <w:tc>
          <w:tcPr>
            <w:tcW w:w="1819" w:type="dxa"/>
            <w:vAlign w:val="center"/>
          </w:tcPr>
          <w:p>
            <w:pPr>
              <w:ind w:firstLine="0" w:firstLineChars="0"/>
              <w:jc w:val="center"/>
              <w:rPr>
                <w:rFonts w:ascii="Times New Roman" w:hAnsi="Times New Roman"/>
                <w:kern w:val="4"/>
                <w:sz w:val="21"/>
                <w:szCs w:val="21"/>
              </w:rPr>
            </w:pPr>
            <w:r>
              <w:rPr>
                <w:rFonts w:ascii="Times New Roman" w:hAnsi="Times New Roman"/>
                <w:kern w:val="4"/>
                <w:sz w:val="21"/>
                <w:szCs w:val="21"/>
              </w:rPr>
              <w:t>19,000</w:t>
            </w:r>
          </w:p>
        </w:tc>
        <w:tc>
          <w:tcPr>
            <w:tcW w:w="1518" w:type="dxa"/>
            <w:vAlign w:val="center"/>
          </w:tcPr>
          <w:p>
            <w:pPr>
              <w:ind w:firstLine="0" w:firstLineChars="0"/>
              <w:jc w:val="center"/>
              <w:rPr>
                <w:rFonts w:ascii="Times New Roman" w:hAnsi="Times New Roman"/>
                <w:kern w:val="4"/>
                <w:sz w:val="21"/>
                <w:szCs w:val="21"/>
              </w:rPr>
            </w:pPr>
            <w:r>
              <w:rPr>
                <w:rFonts w:ascii="Times New Roman" w:hAnsi="Times New Roman"/>
                <w:kern w:val="4"/>
                <w:sz w:val="21"/>
                <w:szCs w:val="21"/>
              </w:rPr>
              <w:t>6,940</w:t>
            </w:r>
          </w:p>
        </w:tc>
        <w:tc>
          <w:tcPr>
            <w:tcW w:w="1819" w:type="dxa"/>
            <w:noWrap/>
            <w:vAlign w:val="center"/>
          </w:tcPr>
          <w:p>
            <w:pPr>
              <w:ind w:firstLine="0" w:firstLineChars="0"/>
              <w:jc w:val="center"/>
              <w:rPr>
                <w:rFonts w:ascii="Times New Roman" w:hAnsi="Times New Roman"/>
                <w:kern w:val="4"/>
                <w:sz w:val="21"/>
                <w:szCs w:val="21"/>
              </w:rPr>
            </w:pPr>
            <w:r>
              <w:rPr>
                <w:rFonts w:ascii="Times New Roman" w:hAnsi="Times New Roman"/>
                <w:kern w:val="4"/>
                <w:sz w:val="21"/>
                <w:szCs w:val="21"/>
              </w:rPr>
              <w:t>12,060</w:t>
            </w:r>
          </w:p>
        </w:tc>
        <w:tc>
          <w:tcPr>
            <w:tcW w:w="1518" w:type="dxa"/>
            <w:vAlign w:val="center"/>
          </w:tcPr>
          <w:p>
            <w:pPr>
              <w:ind w:firstLine="0" w:firstLineChars="0"/>
              <w:jc w:val="center"/>
              <w:rPr>
                <w:rFonts w:ascii="Times New Roman" w:hAnsi="Times New Roman"/>
                <w:kern w:val="4"/>
                <w:sz w:val="21"/>
                <w:szCs w:val="21"/>
              </w:rPr>
            </w:pPr>
          </w:p>
        </w:tc>
        <w:tc>
          <w:tcPr>
            <w:tcW w:w="1130" w:type="dxa"/>
            <w:vAlign w:val="center"/>
          </w:tcPr>
          <w:p>
            <w:pPr>
              <w:ind w:firstLine="0" w:firstLineChars="0"/>
              <w:jc w:val="center"/>
              <w:rPr>
                <w:rFonts w:ascii="Times New Roman" w:hAnsi="Times New Roman"/>
                <w:kern w:val="4"/>
                <w:sz w:val="21"/>
                <w:szCs w:val="21"/>
              </w:rPr>
            </w:pPr>
            <w:r>
              <w:rPr>
                <w:rFonts w:ascii="Times New Roman" w:hAnsi="Times New Roman"/>
                <w:kern w:val="4"/>
                <w:sz w:val="21"/>
                <w:szCs w:val="21"/>
              </w:rPr>
              <w:t>527</w:t>
            </w:r>
          </w:p>
        </w:tc>
        <w:tc>
          <w:tcPr>
            <w:tcW w:w="1331"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○，含1个工区建设</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6</w:t>
            </w:r>
          </w:p>
        </w:tc>
        <w:tc>
          <w:tcPr>
            <w:tcW w:w="2231" w:type="dxa"/>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S</w:t>
            </w:r>
            <w:r>
              <w:rPr>
                <w:rFonts w:ascii="Times New Roman" w:hAnsi="Times New Roman" w:eastAsia="楷体"/>
                <w:kern w:val="4"/>
                <w:sz w:val="21"/>
                <w:szCs w:val="21"/>
              </w:rPr>
              <w:t>446</w:t>
            </w:r>
            <w:r>
              <w:rPr>
                <w:rFonts w:hint="eastAsia" w:ascii="Times New Roman" w:hAnsi="Times New Roman" w:eastAsia="楷体"/>
                <w:kern w:val="4"/>
                <w:sz w:val="21"/>
                <w:szCs w:val="21"/>
              </w:rPr>
              <w:t>白马互通至S</w:t>
            </w:r>
            <w:r>
              <w:rPr>
                <w:rFonts w:ascii="Times New Roman" w:hAnsi="Times New Roman" w:eastAsia="楷体"/>
                <w:kern w:val="4"/>
                <w:sz w:val="21"/>
                <w:szCs w:val="21"/>
              </w:rPr>
              <w:t>341</w:t>
            </w:r>
          </w:p>
        </w:tc>
        <w:tc>
          <w:tcPr>
            <w:tcW w:w="1051" w:type="dxa"/>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新建</w:t>
            </w:r>
          </w:p>
        </w:tc>
        <w:tc>
          <w:tcPr>
            <w:tcW w:w="1470" w:type="dxa"/>
            <w:vAlign w:val="center"/>
          </w:tcPr>
          <w:p>
            <w:pPr>
              <w:widowControl/>
              <w:autoSpaceDE/>
              <w:autoSpaceDN/>
              <w:ind w:firstLine="0" w:firstLineChars="0"/>
              <w:jc w:val="center"/>
              <w:rPr>
                <w:rFonts w:ascii="Times New Roman" w:hAnsi="Times New Roman" w:eastAsia="楷体"/>
                <w:kern w:val="4"/>
                <w:sz w:val="21"/>
                <w:szCs w:val="21"/>
              </w:rPr>
            </w:pPr>
          </w:p>
        </w:tc>
        <w:tc>
          <w:tcPr>
            <w:tcW w:w="1743" w:type="dxa"/>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6</w:t>
            </w:r>
            <w:r>
              <w:rPr>
                <w:rFonts w:ascii="Times New Roman" w:hAnsi="Times New Roman" w:eastAsia="楷体"/>
                <w:kern w:val="4"/>
                <w:sz w:val="21"/>
                <w:szCs w:val="21"/>
              </w:rPr>
              <w:t>.00</w:t>
            </w:r>
          </w:p>
        </w:tc>
        <w:tc>
          <w:tcPr>
            <w:tcW w:w="1542" w:type="dxa"/>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20</w:t>
            </w:r>
            <w:r>
              <w:rPr>
                <w:rFonts w:ascii="Times New Roman" w:hAnsi="Times New Roman" w:eastAsia="楷体"/>
                <w:kern w:val="4"/>
                <w:sz w:val="21"/>
                <w:szCs w:val="21"/>
              </w:rPr>
              <w:t>19-2020</w:t>
            </w:r>
          </w:p>
        </w:tc>
        <w:tc>
          <w:tcPr>
            <w:tcW w:w="1808" w:type="dxa"/>
            <w:vAlign w:val="center"/>
          </w:tcPr>
          <w:p>
            <w:pPr>
              <w:ind w:firstLine="0" w:firstLineChars="0"/>
              <w:jc w:val="center"/>
              <w:rPr>
                <w:rFonts w:ascii="Times New Roman" w:hAnsi="Times New Roman"/>
                <w:kern w:val="4"/>
                <w:sz w:val="21"/>
                <w:szCs w:val="21"/>
              </w:rPr>
            </w:pPr>
            <w:r>
              <w:rPr>
                <w:rFonts w:ascii="Times New Roman" w:hAnsi="Times New Roman"/>
                <w:kern w:val="4"/>
                <w:sz w:val="21"/>
                <w:szCs w:val="21"/>
              </w:rPr>
              <w:t>30,000</w:t>
            </w:r>
          </w:p>
        </w:tc>
        <w:tc>
          <w:tcPr>
            <w:tcW w:w="1518" w:type="dxa"/>
            <w:vAlign w:val="center"/>
          </w:tcPr>
          <w:p>
            <w:pPr>
              <w:ind w:firstLine="0" w:firstLineChars="0"/>
              <w:jc w:val="center"/>
              <w:rPr>
                <w:rFonts w:ascii="Times New Roman" w:hAnsi="Times New Roman"/>
                <w:kern w:val="4"/>
                <w:sz w:val="21"/>
                <w:szCs w:val="21"/>
              </w:rPr>
            </w:pPr>
          </w:p>
        </w:tc>
        <w:tc>
          <w:tcPr>
            <w:tcW w:w="1819" w:type="dxa"/>
            <w:vAlign w:val="center"/>
          </w:tcPr>
          <w:p>
            <w:pPr>
              <w:ind w:firstLine="0" w:firstLineChars="0"/>
              <w:jc w:val="center"/>
              <w:rPr>
                <w:rFonts w:ascii="Times New Roman" w:hAnsi="Times New Roman"/>
                <w:kern w:val="4"/>
                <w:sz w:val="21"/>
                <w:szCs w:val="21"/>
              </w:rPr>
            </w:pPr>
            <w:r>
              <w:rPr>
                <w:rFonts w:ascii="Times New Roman" w:hAnsi="Times New Roman"/>
                <w:kern w:val="4"/>
                <w:sz w:val="21"/>
                <w:szCs w:val="21"/>
              </w:rPr>
              <w:t>30,000</w:t>
            </w:r>
          </w:p>
        </w:tc>
        <w:tc>
          <w:tcPr>
            <w:tcW w:w="1518" w:type="dxa"/>
            <w:vAlign w:val="center"/>
          </w:tcPr>
          <w:p>
            <w:pPr>
              <w:ind w:firstLine="0" w:firstLineChars="0"/>
              <w:jc w:val="center"/>
              <w:rPr>
                <w:rFonts w:ascii="Times New Roman" w:hAnsi="Times New Roman"/>
                <w:kern w:val="4"/>
                <w:sz w:val="21"/>
                <w:szCs w:val="21"/>
              </w:rPr>
            </w:pPr>
            <w:r>
              <w:rPr>
                <w:rFonts w:ascii="Times New Roman" w:hAnsi="Times New Roman"/>
                <w:kern w:val="4"/>
                <w:sz w:val="21"/>
                <w:szCs w:val="21"/>
              </w:rPr>
              <w:t>3,000</w:t>
            </w:r>
          </w:p>
        </w:tc>
        <w:tc>
          <w:tcPr>
            <w:tcW w:w="1819" w:type="dxa"/>
            <w:noWrap/>
            <w:vAlign w:val="center"/>
          </w:tcPr>
          <w:p>
            <w:pPr>
              <w:ind w:firstLine="0" w:firstLineChars="0"/>
              <w:jc w:val="center"/>
              <w:rPr>
                <w:rFonts w:ascii="Times New Roman" w:hAnsi="Times New Roman"/>
                <w:kern w:val="4"/>
                <w:sz w:val="21"/>
                <w:szCs w:val="21"/>
              </w:rPr>
            </w:pPr>
            <w:r>
              <w:rPr>
                <w:rFonts w:ascii="Times New Roman" w:hAnsi="Times New Roman"/>
                <w:kern w:val="4"/>
                <w:sz w:val="21"/>
                <w:szCs w:val="21"/>
              </w:rPr>
              <w:t>27,000</w:t>
            </w:r>
          </w:p>
        </w:tc>
        <w:tc>
          <w:tcPr>
            <w:tcW w:w="1518" w:type="dxa"/>
            <w:vAlign w:val="center"/>
          </w:tcPr>
          <w:p>
            <w:pPr>
              <w:ind w:firstLine="0" w:firstLineChars="0"/>
              <w:jc w:val="center"/>
              <w:rPr>
                <w:rFonts w:ascii="Times New Roman" w:hAnsi="Times New Roman"/>
                <w:kern w:val="4"/>
                <w:sz w:val="21"/>
                <w:szCs w:val="21"/>
              </w:rPr>
            </w:pPr>
          </w:p>
        </w:tc>
        <w:tc>
          <w:tcPr>
            <w:tcW w:w="1130" w:type="dxa"/>
            <w:vAlign w:val="center"/>
          </w:tcPr>
          <w:p>
            <w:pPr>
              <w:ind w:firstLine="0" w:firstLineChars="0"/>
              <w:jc w:val="center"/>
              <w:rPr>
                <w:rFonts w:ascii="Times New Roman" w:hAnsi="Times New Roman"/>
                <w:kern w:val="4"/>
                <w:sz w:val="21"/>
                <w:szCs w:val="21"/>
              </w:rPr>
            </w:pPr>
            <w:r>
              <w:rPr>
                <w:rFonts w:ascii="Times New Roman" w:hAnsi="Times New Roman"/>
                <w:kern w:val="4"/>
                <w:sz w:val="21"/>
                <w:szCs w:val="21"/>
              </w:rPr>
              <w:t>474</w:t>
            </w:r>
          </w:p>
        </w:tc>
        <w:tc>
          <w:tcPr>
            <w:tcW w:w="1331" w:type="dxa"/>
            <w:noWrap/>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（三）</w:t>
            </w:r>
          </w:p>
        </w:tc>
        <w:tc>
          <w:tcPr>
            <w:tcW w:w="2231" w:type="dxa"/>
            <w:noWrap/>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路网连接公路</w:t>
            </w:r>
          </w:p>
        </w:tc>
        <w:tc>
          <w:tcPr>
            <w:tcW w:w="1051" w:type="dxa"/>
            <w:vAlign w:val="center"/>
          </w:tcPr>
          <w:p>
            <w:pPr>
              <w:widowControl/>
              <w:autoSpaceDE/>
              <w:autoSpaceDN/>
              <w:ind w:firstLine="0" w:firstLineChars="0"/>
              <w:jc w:val="center"/>
              <w:rPr>
                <w:rFonts w:ascii="Times New Roman" w:hAnsi="Times New Roman" w:eastAsia="楷体"/>
                <w:kern w:val="4"/>
                <w:sz w:val="21"/>
                <w:szCs w:val="21"/>
              </w:rPr>
            </w:pPr>
          </w:p>
        </w:tc>
        <w:tc>
          <w:tcPr>
            <w:tcW w:w="3213" w:type="dxa"/>
            <w:gridSpan w:val="2"/>
            <w:vAlign w:val="center"/>
          </w:tcPr>
          <w:p>
            <w:pPr>
              <w:widowControl/>
              <w:autoSpaceDE/>
              <w:autoSpaceDN/>
              <w:ind w:firstLine="0" w:firstLineChars="0"/>
              <w:jc w:val="center"/>
              <w:rPr>
                <w:rFonts w:ascii="Times New Roman" w:hAnsi="Times New Roman" w:eastAsia="楷体"/>
                <w:b/>
                <w:bCs/>
                <w:kern w:val="4"/>
                <w:sz w:val="21"/>
                <w:szCs w:val="21"/>
              </w:rPr>
            </w:pPr>
          </w:p>
        </w:tc>
        <w:tc>
          <w:tcPr>
            <w:tcW w:w="1542" w:type="dxa"/>
            <w:vAlign w:val="center"/>
          </w:tcPr>
          <w:p>
            <w:pPr>
              <w:widowControl/>
              <w:autoSpaceDE/>
              <w:autoSpaceDN/>
              <w:ind w:firstLine="0" w:firstLineChars="0"/>
              <w:jc w:val="center"/>
              <w:rPr>
                <w:rFonts w:ascii="Times New Roman" w:hAnsi="Times New Roman" w:eastAsia="楷体"/>
                <w:b/>
                <w:bCs/>
                <w:kern w:val="4"/>
                <w:sz w:val="21"/>
                <w:szCs w:val="21"/>
              </w:rPr>
            </w:pPr>
          </w:p>
        </w:tc>
        <w:tc>
          <w:tcPr>
            <w:tcW w:w="1808" w:type="dxa"/>
            <w:vAlign w:val="center"/>
          </w:tcPr>
          <w:p>
            <w:pPr>
              <w:widowControl/>
              <w:autoSpaceDE/>
              <w:autoSpaceDN/>
              <w:ind w:firstLine="0" w:firstLineChars="0"/>
              <w:jc w:val="center"/>
              <w:rPr>
                <w:rFonts w:ascii="Times New Roman" w:hAnsi="Times New Roman" w:eastAsia="宋体"/>
                <w:b/>
                <w:bCs/>
                <w:kern w:val="4"/>
                <w:sz w:val="21"/>
                <w:szCs w:val="21"/>
              </w:rPr>
            </w:pPr>
            <w:r>
              <w:rPr>
                <w:rFonts w:ascii="Times New Roman" w:hAnsi="Times New Roman"/>
                <w:b/>
                <w:bCs/>
                <w:kern w:val="4"/>
                <w:sz w:val="21"/>
                <w:szCs w:val="21"/>
              </w:rPr>
              <w:t>120,500</w:t>
            </w:r>
          </w:p>
        </w:tc>
        <w:tc>
          <w:tcPr>
            <w:tcW w:w="1518" w:type="dxa"/>
            <w:vAlign w:val="center"/>
          </w:tcPr>
          <w:p>
            <w:pPr>
              <w:ind w:firstLine="0" w:firstLineChars="0"/>
              <w:jc w:val="center"/>
              <w:rPr>
                <w:rFonts w:ascii="Times New Roman" w:hAnsi="Times New Roman"/>
                <w:b/>
                <w:bCs/>
                <w:kern w:val="4"/>
                <w:sz w:val="21"/>
                <w:szCs w:val="21"/>
              </w:rPr>
            </w:pPr>
          </w:p>
        </w:tc>
        <w:tc>
          <w:tcPr>
            <w:tcW w:w="1819" w:type="dxa"/>
            <w:vAlign w:val="center"/>
          </w:tcPr>
          <w:p>
            <w:pPr>
              <w:ind w:firstLine="0" w:firstLineChars="0"/>
              <w:jc w:val="center"/>
              <w:rPr>
                <w:rFonts w:ascii="Times New Roman" w:hAnsi="Times New Roman"/>
                <w:b/>
                <w:bCs/>
                <w:kern w:val="4"/>
                <w:sz w:val="21"/>
                <w:szCs w:val="21"/>
              </w:rPr>
            </w:pPr>
            <w:r>
              <w:rPr>
                <w:rFonts w:ascii="Times New Roman" w:hAnsi="Times New Roman"/>
                <w:b/>
                <w:bCs/>
                <w:kern w:val="4"/>
                <w:sz w:val="21"/>
                <w:szCs w:val="21"/>
              </w:rPr>
              <w:t>120,500</w:t>
            </w:r>
          </w:p>
        </w:tc>
        <w:tc>
          <w:tcPr>
            <w:tcW w:w="1518" w:type="dxa"/>
            <w:vAlign w:val="center"/>
          </w:tcPr>
          <w:p>
            <w:pPr>
              <w:ind w:firstLine="0" w:firstLineChars="0"/>
              <w:jc w:val="center"/>
              <w:rPr>
                <w:rFonts w:ascii="Times New Roman" w:hAnsi="Times New Roman"/>
                <w:b/>
                <w:bCs/>
                <w:kern w:val="4"/>
                <w:sz w:val="21"/>
                <w:szCs w:val="21"/>
              </w:rPr>
            </w:pPr>
            <w:r>
              <w:rPr>
                <w:rFonts w:ascii="Times New Roman" w:hAnsi="Times New Roman"/>
                <w:b/>
                <w:bCs/>
                <w:kern w:val="4"/>
                <w:sz w:val="21"/>
                <w:szCs w:val="21"/>
              </w:rPr>
              <w:t>26,780</w:t>
            </w:r>
          </w:p>
        </w:tc>
        <w:tc>
          <w:tcPr>
            <w:tcW w:w="1819" w:type="dxa"/>
            <w:vAlign w:val="center"/>
          </w:tcPr>
          <w:p>
            <w:pPr>
              <w:ind w:firstLine="0" w:firstLineChars="0"/>
              <w:jc w:val="center"/>
              <w:rPr>
                <w:rFonts w:ascii="Times New Roman" w:hAnsi="Times New Roman"/>
                <w:b/>
                <w:bCs/>
                <w:kern w:val="4"/>
                <w:sz w:val="21"/>
                <w:szCs w:val="21"/>
              </w:rPr>
            </w:pPr>
            <w:r>
              <w:rPr>
                <w:rFonts w:ascii="Times New Roman" w:hAnsi="Times New Roman"/>
                <w:b/>
                <w:bCs/>
                <w:kern w:val="4"/>
                <w:sz w:val="21"/>
                <w:szCs w:val="21"/>
              </w:rPr>
              <w:t>93,720</w:t>
            </w:r>
          </w:p>
        </w:tc>
        <w:tc>
          <w:tcPr>
            <w:tcW w:w="1518" w:type="dxa"/>
            <w:vAlign w:val="center"/>
          </w:tcPr>
          <w:p>
            <w:pPr>
              <w:ind w:firstLine="0" w:firstLineChars="0"/>
              <w:jc w:val="center"/>
              <w:rPr>
                <w:rFonts w:ascii="Times New Roman" w:hAnsi="Times New Roman"/>
                <w:b/>
                <w:bCs/>
                <w:kern w:val="4"/>
                <w:sz w:val="21"/>
                <w:szCs w:val="21"/>
              </w:rPr>
            </w:pPr>
          </w:p>
        </w:tc>
        <w:tc>
          <w:tcPr>
            <w:tcW w:w="1130" w:type="dxa"/>
            <w:vAlign w:val="center"/>
          </w:tcPr>
          <w:p>
            <w:pPr>
              <w:ind w:firstLine="0" w:firstLineChars="0"/>
              <w:jc w:val="center"/>
              <w:rPr>
                <w:rFonts w:ascii="Times New Roman" w:hAnsi="Times New Roman"/>
                <w:b/>
                <w:bCs/>
                <w:kern w:val="4"/>
                <w:sz w:val="21"/>
                <w:szCs w:val="21"/>
              </w:rPr>
            </w:pPr>
            <w:r>
              <w:rPr>
                <w:rFonts w:ascii="Times New Roman" w:hAnsi="Times New Roman"/>
                <w:b/>
                <w:bCs/>
                <w:kern w:val="4"/>
                <w:sz w:val="21"/>
                <w:szCs w:val="21"/>
              </w:rPr>
              <w:t>5,360</w:t>
            </w:r>
          </w:p>
        </w:tc>
        <w:tc>
          <w:tcPr>
            <w:tcW w:w="1331" w:type="dxa"/>
            <w:noWrap/>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7</w:t>
            </w:r>
          </w:p>
        </w:tc>
        <w:tc>
          <w:tcPr>
            <w:tcW w:w="2231"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集疏散和路网连接公路</w:t>
            </w:r>
          </w:p>
        </w:tc>
        <w:tc>
          <w:tcPr>
            <w:tcW w:w="105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新改建</w:t>
            </w:r>
          </w:p>
        </w:tc>
        <w:tc>
          <w:tcPr>
            <w:tcW w:w="3213" w:type="dxa"/>
            <w:gridSpan w:val="2"/>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建成连接公路18条，共98.21公里。其中一级公路48.01公里，二级公路29.20公里，三级公路21.00公里。</w:t>
            </w:r>
          </w:p>
        </w:tc>
        <w:tc>
          <w:tcPr>
            <w:tcW w:w="1542"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2016-2020</w:t>
            </w:r>
          </w:p>
        </w:tc>
        <w:tc>
          <w:tcPr>
            <w:tcW w:w="1808" w:type="dxa"/>
            <w:vAlign w:val="center"/>
          </w:tcPr>
          <w:p>
            <w:pPr>
              <w:widowControl/>
              <w:autoSpaceDE/>
              <w:autoSpaceDN/>
              <w:ind w:firstLine="0" w:firstLineChars="0"/>
              <w:jc w:val="center"/>
              <w:rPr>
                <w:rFonts w:ascii="Times New Roman" w:hAnsi="Times New Roman" w:eastAsia="宋体"/>
                <w:bCs/>
                <w:kern w:val="4"/>
                <w:sz w:val="21"/>
                <w:szCs w:val="21"/>
              </w:rPr>
            </w:pPr>
            <w:r>
              <w:rPr>
                <w:rFonts w:ascii="Times New Roman" w:hAnsi="Times New Roman"/>
                <w:bCs/>
                <w:kern w:val="4"/>
                <w:sz w:val="21"/>
                <w:szCs w:val="21"/>
              </w:rPr>
              <w:t>120,500</w:t>
            </w:r>
          </w:p>
        </w:tc>
        <w:tc>
          <w:tcPr>
            <w:tcW w:w="1518" w:type="dxa"/>
            <w:vAlign w:val="center"/>
          </w:tcPr>
          <w:p>
            <w:pPr>
              <w:ind w:firstLine="0" w:firstLineChars="0"/>
              <w:jc w:val="center"/>
              <w:rPr>
                <w:rFonts w:ascii="Times New Roman" w:hAnsi="Times New Roman"/>
                <w:bCs/>
                <w:kern w:val="4"/>
                <w:sz w:val="21"/>
                <w:szCs w:val="21"/>
              </w:rPr>
            </w:pPr>
          </w:p>
        </w:tc>
        <w:tc>
          <w:tcPr>
            <w:tcW w:w="1819" w:type="dxa"/>
            <w:vAlign w:val="center"/>
          </w:tcPr>
          <w:p>
            <w:pPr>
              <w:ind w:firstLine="0" w:firstLineChars="0"/>
              <w:jc w:val="center"/>
              <w:rPr>
                <w:rFonts w:ascii="Times New Roman" w:hAnsi="Times New Roman"/>
                <w:bCs/>
                <w:kern w:val="4"/>
                <w:sz w:val="21"/>
                <w:szCs w:val="21"/>
              </w:rPr>
            </w:pPr>
            <w:r>
              <w:rPr>
                <w:rFonts w:ascii="Times New Roman" w:hAnsi="Times New Roman"/>
                <w:bCs/>
                <w:kern w:val="4"/>
                <w:sz w:val="21"/>
                <w:szCs w:val="21"/>
              </w:rPr>
              <w:t>120,500</w:t>
            </w:r>
          </w:p>
        </w:tc>
        <w:tc>
          <w:tcPr>
            <w:tcW w:w="1518" w:type="dxa"/>
            <w:vAlign w:val="center"/>
          </w:tcPr>
          <w:p>
            <w:pPr>
              <w:ind w:firstLine="0" w:firstLineChars="0"/>
              <w:jc w:val="center"/>
              <w:rPr>
                <w:rFonts w:ascii="Times New Roman" w:hAnsi="Times New Roman"/>
                <w:bCs/>
                <w:kern w:val="4"/>
                <w:sz w:val="21"/>
                <w:szCs w:val="21"/>
              </w:rPr>
            </w:pPr>
            <w:r>
              <w:rPr>
                <w:rFonts w:ascii="Times New Roman" w:hAnsi="Times New Roman"/>
                <w:bCs/>
                <w:kern w:val="4"/>
                <w:sz w:val="21"/>
                <w:szCs w:val="21"/>
              </w:rPr>
              <w:t>26,780</w:t>
            </w:r>
          </w:p>
        </w:tc>
        <w:tc>
          <w:tcPr>
            <w:tcW w:w="1819" w:type="dxa"/>
            <w:vAlign w:val="center"/>
          </w:tcPr>
          <w:p>
            <w:pPr>
              <w:ind w:firstLine="0" w:firstLineChars="0"/>
              <w:jc w:val="center"/>
              <w:rPr>
                <w:rFonts w:ascii="Times New Roman" w:hAnsi="Times New Roman"/>
                <w:bCs/>
                <w:kern w:val="4"/>
                <w:sz w:val="21"/>
                <w:szCs w:val="21"/>
              </w:rPr>
            </w:pPr>
            <w:r>
              <w:rPr>
                <w:rFonts w:ascii="Times New Roman" w:hAnsi="Times New Roman"/>
                <w:bCs/>
                <w:kern w:val="4"/>
                <w:sz w:val="21"/>
                <w:szCs w:val="21"/>
              </w:rPr>
              <w:t>93,720</w:t>
            </w:r>
          </w:p>
        </w:tc>
        <w:tc>
          <w:tcPr>
            <w:tcW w:w="1518" w:type="dxa"/>
            <w:vAlign w:val="center"/>
          </w:tcPr>
          <w:p>
            <w:pPr>
              <w:ind w:firstLine="0" w:firstLineChars="0"/>
              <w:jc w:val="center"/>
              <w:rPr>
                <w:rFonts w:ascii="Times New Roman" w:hAnsi="Times New Roman"/>
                <w:bCs/>
                <w:kern w:val="4"/>
                <w:sz w:val="21"/>
                <w:szCs w:val="21"/>
              </w:rPr>
            </w:pPr>
          </w:p>
        </w:tc>
        <w:tc>
          <w:tcPr>
            <w:tcW w:w="1130" w:type="dxa"/>
            <w:vAlign w:val="center"/>
          </w:tcPr>
          <w:p>
            <w:pPr>
              <w:ind w:firstLine="0" w:firstLineChars="0"/>
              <w:jc w:val="center"/>
              <w:rPr>
                <w:rFonts w:ascii="Times New Roman" w:hAnsi="Times New Roman"/>
                <w:bCs/>
                <w:kern w:val="4"/>
                <w:sz w:val="21"/>
                <w:szCs w:val="21"/>
              </w:rPr>
            </w:pPr>
            <w:r>
              <w:rPr>
                <w:rFonts w:ascii="Times New Roman" w:hAnsi="Times New Roman"/>
                <w:bCs/>
                <w:kern w:val="4"/>
                <w:sz w:val="21"/>
                <w:szCs w:val="21"/>
              </w:rPr>
              <w:t>5,360</w:t>
            </w:r>
          </w:p>
        </w:tc>
        <w:tc>
          <w:tcPr>
            <w:tcW w:w="1331" w:type="dxa"/>
            <w:noWrap/>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（四）</w:t>
            </w:r>
          </w:p>
        </w:tc>
        <w:tc>
          <w:tcPr>
            <w:tcW w:w="2231" w:type="dxa"/>
            <w:noWrap/>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农村公路</w:t>
            </w:r>
          </w:p>
        </w:tc>
        <w:tc>
          <w:tcPr>
            <w:tcW w:w="1051" w:type="dxa"/>
            <w:vAlign w:val="center"/>
          </w:tcPr>
          <w:p>
            <w:pPr>
              <w:widowControl/>
              <w:autoSpaceDE/>
              <w:autoSpaceDN/>
              <w:ind w:firstLine="0" w:firstLineChars="0"/>
              <w:jc w:val="center"/>
              <w:rPr>
                <w:rFonts w:ascii="Times New Roman" w:hAnsi="Times New Roman" w:eastAsia="楷体"/>
                <w:kern w:val="4"/>
                <w:sz w:val="21"/>
                <w:szCs w:val="21"/>
              </w:rPr>
            </w:pPr>
          </w:p>
        </w:tc>
        <w:tc>
          <w:tcPr>
            <w:tcW w:w="3213" w:type="dxa"/>
            <w:gridSpan w:val="2"/>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总规模466公里</w:t>
            </w:r>
          </w:p>
        </w:tc>
        <w:tc>
          <w:tcPr>
            <w:tcW w:w="1542" w:type="dxa"/>
            <w:vAlign w:val="center"/>
          </w:tcPr>
          <w:p>
            <w:pPr>
              <w:widowControl/>
              <w:autoSpaceDE/>
              <w:autoSpaceDN/>
              <w:ind w:firstLine="0" w:firstLineChars="0"/>
              <w:jc w:val="center"/>
              <w:rPr>
                <w:rFonts w:ascii="Times New Roman" w:hAnsi="Times New Roman" w:eastAsia="楷体"/>
                <w:kern w:val="4"/>
                <w:sz w:val="21"/>
                <w:szCs w:val="21"/>
              </w:rPr>
            </w:pPr>
          </w:p>
        </w:tc>
        <w:tc>
          <w:tcPr>
            <w:tcW w:w="1808"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210,000</w:t>
            </w:r>
          </w:p>
        </w:tc>
        <w:tc>
          <w:tcPr>
            <w:tcW w:w="1518" w:type="dxa"/>
            <w:vAlign w:val="center"/>
          </w:tcPr>
          <w:p>
            <w:pPr>
              <w:widowControl/>
              <w:autoSpaceDE/>
              <w:autoSpaceDN/>
              <w:ind w:firstLine="0" w:firstLineChars="0"/>
              <w:jc w:val="center"/>
              <w:rPr>
                <w:rFonts w:ascii="Times New Roman" w:hAnsi="Times New Roman" w:eastAsia="楷体"/>
                <w:b/>
                <w:bCs/>
                <w:kern w:val="4"/>
                <w:sz w:val="21"/>
                <w:szCs w:val="21"/>
              </w:rPr>
            </w:pPr>
          </w:p>
        </w:tc>
        <w:tc>
          <w:tcPr>
            <w:tcW w:w="1819"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210,000</w:t>
            </w:r>
          </w:p>
        </w:tc>
        <w:tc>
          <w:tcPr>
            <w:tcW w:w="1518"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31,150</w:t>
            </w:r>
          </w:p>
        </w:tc>
        <w:tc>
          <w:tcPr>
            <w:tcW w:w="1819"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178,850</w:t>
            </w:r>
          </w:p>
        </w:tc>
        <w:tc>
          <w:tcPr>
            <w:tcW w:w="1518" w:type="dxa"/>
            <w:vAlign w:val="center"/>
          </w:tcPr>
          <w:p>
            <w:pPr>
              <w:widowControl/>
              <w:autoSpaceDE/>
              <w:autoSpaceDN/>
              <w:ind w:firstLine="0" w:firstLineChars="0"/>
              <w:jc w:val="center"/>
              <w:rPr>
                <w:rFonts w:ascii="Times New Roman" w:hAnsi="Times New Roman" w:eastAsia="楷体"/>
                <w:b/>
                <w:bCs/>
                <w:kern w:val="4"/>
                <w:sz w:val="21"/>
                <w:szCs w:val="21"/>
              </w:rPr>
            </w:pPr>
          </w:p>
        </w:tc>
        <w:tc>
          <w:tcPr>
            <w:tcW w:w="1130" w:type="dxa"/>
            <w:vAlign w:val="center"/>
          </w:tcPr>
          <w:p>
            <w:pPr>
              <w:widowControl/>
              <w:autoSpaceDE/>
              <w:autoSpaceDN/>
              <w:ind w:firstLine="0" w:firstLineChars="0"/>
              <w:jc w:val="center"/>
              <w:rPr>
                <w:rFonts w:ascii="Times New Roman" w:hAnsi="Times New Roman" w:eastAsia="楷体"/>
                <w:b/>
                <w:bCs/>
                <w:kern w:val="4"/>
                <w:sz w:val="21"/>
                <w:szCs w:val="21"/>
              </w:rPr>
            </w:pPr>
          </w:p>
        </w:tc>
        <w:tc>
          <w:tcPr>
            <w:tcW w:w="1331" w:type="dxa"/>
            <w:noWrap/>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vMerge w:val="restart"/>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8</w:t>
            </w:r>
          </w:p>
        </w:tc>
        <w:tc>
          <w:tcPr>
            <w:tcW w:w="2231" w:type="dxa"/>
            <w:vMerge w:val="restart"/>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农村公路提档升级工程</w:t>
            </w:r>
          </w:p>
        </w:tc>
        <w:tc>
          <w:tcPr>
            <w:tcW w:w="1051" w:type="dxa"/>
            <w:vMerge w:val="restart"/>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新改建</w:t>
            </w:r>
          </w:p>
        </w:tc>
        <w:tc>
          <w:tcPr>
            <w:tcW w:w="3213" w:type="dxa"/>
            <w:gridSpan w:val="2"/>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总长为363公里</w:t>
            </w:r>
          </w:p>
        </w:tc>
        <w:tc>
          <w:tcPr>
            <w:tcW w:w="1542"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2016-2018</w:t>
            </w:r>
          </w:p>
        </w:tc>
        <w:tc>
          <w:tcPr>
            <w:tcW w:w="1808"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180,000</w:t>
            </w:r>
          </w:p>
        </w:tc>
        <w:tc>
          <w:tcPr>
            <w:tcW w:w="1518" w:type="dxa"/>
            <w:noWrap/>
            <w:vAlign w:val="center"/>
          </w:tcPr>
          <w:p>
            <w:pPr>
              <w:widowControl/>
              <w:autoSpaceDE/>
              <w:autoSpaceDN/>
              <w:ind w:firstLine="0" w:firstLineChars="0"/>
              <w:jc w:val="center"/>
              <w:rPr>
                <w:rFonts w:ascii="Times New Roman" w:hAnsi="Times New Roman" w:eastAsia="楷体"/>
                <w:kern w:val="4"/>
                <w:sz w:val="21"/>
                <w:szCs w:val="21"/>
              </w:rPr>
            </w:pPr>
          </w:p>
        </w:tc>
        <w:tc>
          <w:tcPr>
            <w:tcW w:w="181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180,000</w:t>
            </w: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26,000</w:t>
            </w:r>
          </w:p>
        </w:tc>
        <w:tc>
          <w:tcPr>
            <w:tcW w:w="181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154,000</w:t>
            </w:r>
          </w:p>
        </w:tc>
        <w:tc>
          <w:tcPr>
            <w:tcW w:w="1518" w:type="dxa"/>
            <w:vAlign w:val="center"/>
          </w:tcPr>
          <w:p>
            <w:pPr>
              <w:widowControl/>
              <w:autoSpaceDE/>
              <w:autoSpaceDN/>
              <w:ind w:firstLine="0" w:firstLineChars="0"/>
              <w:jc w:val="center"/>
              <w:rPr>
                <w:rFonts w:ascii="Times New Roman" w:hAnsi="Times New Roman" w:eastAsia="楷体"/>
                <w:kern w:val="4"/>
                <w:sz w:val="21"/>
                <w:szCs w:val="21"/>
                <w:highlight w:val="yellow"/>
              </w:rPr>
            </w:pPr>
          </w:p>
        </w:tc>
        <w:tc>
          <w:tcPr>
            <w:tcW w:w="1130" w:type="dxa"/>
            <w:vAlign w:val="center"/>
          </w:tcPr>
          <w:p>
            <w:pPr>
              <w:widowControl/>
              <w:autoSpaceDE/>
              <w:autoSpaceDN/>
              <w:ind w:firstLine="0" w:firstLineChars="0"/>
              <w:jc w:val="center"/>
              <w:rPr>
                <w:rFonts w:ascii="Times New Roman" w:hAnsi="Times New Roman" w:eastAsia="楷体"/>
                <w:kern w:val="4"/>
                <w:sz w:val="21"/>
                <w:szCs w:val="21"/>
              </w:rPr>
            </w:pPr>
          </w:p>
        </w:tc>
        <w:tc>
          <w:tcPr>
            <w:tcW w:w="1331" w:type="dxa"/>
            <w:noWrap/>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vMerge w:val="continue"/>
            <w:vAlign w:val="center"/>
          </w:tcPr>
          <w:p>
            <w:pPr>
              <w:widowControl/>
              <w:autoSpaceDE/>
              <w:autoSpaceDN/>
              <w:ind w:firstLine="0" w:firstLineChars="0"/>
              <w:jc w:val="center"/>
              <w:rPr>
                <w:rFonts w:ascii="Times New Roman" w:hAnsi="Times New Roman" w:eastAsia="楷体"/>
                <w:kern w:val="4"/>
                <w:sz w:val="21"/>
                <w:szCs w:val="21"/>
              </w:rPr>
            </w:pPr>
          </w:p>
        </w:tc>
        <w:tc>
          <w:tcPr>
            <w:tcW w:w="2231" w:type="dxa"/>
            <w:vMerge w:val="continue"/>
            <w:vAlign w:val="center"/>
          </w:tcPr>
          <w:p>
            <w:pPr>
              <w:widowControl/>
              <w:autoSpaceDE/>
              <w:autoSpaceDN/>
              <w:ind w:firstLine="0" w:firstLineChars="0"/>
              <w:jc w:val="center"/>
              <w:rPr>
                <w:rFonts w:ascii="Times New Roman" w:hAnsi="Times New Roman" w:eastAsia="楷体"/>
                <w:kern w:val="4"/>
                <w:sz w:val="21"/>
                <w:szCs w:val="21"/>
              </w:rPr>
            </w:pPr>
          </w:p>
        </w:tc>
        <w:tc>
          <w:tcPr>
            <w:tcW w:w="1051" w:type="dxa"/>
            <w:vMerge w:val="continue"/>
            <w:vAlign w:val="center"/>
          </w:tcPr>
          <w:p>
            <w:pPr>
              <w:widowControl/>
              <w:autoSpaceDE/>
              <w:autoSpaceDN/>
              <w:ind w:firstLine="0" w:firstLineChars="0"/>
              <w:jc w:val="center"/>
              <w:rPr>
                <w:rFonts w:ascii="Times New Roman" w:hAnsi="Times New Roman" w:eastAsia="楷体"/>
                <w:kern w:val="4"/>
                <w:sz w:val="21"/>
                <w:szCs w:val="21"/>
              </w:rPr>
            </w:pPr>
          </w:p>
        </w:tc>
        <w:tc>
          <w:tcPr>
            <w:tcW w:w="3213" w:type="dxa"/>
            <w:gridSpan w:val="2"/>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总规模103公里</w:t>
            </w:r>
          </w:p>
        </w:tc>
        <w:tc>
          <w:tcPr>
            <w:tcW w:w="1542"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2019-2020</w:t>
            </w:r>
          </w:p>
        </w:tc>
        <w:tc>
          <w:tcPr>
            <w:tcW w:w="1808"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30,000</w:t>
            </w:r>
          </w:p>
        </w:tc>
        <w:tc>
          <w:tcPr>
            <w:tcW w:w="1518" w:type="dxa"/>
            <w:noWrap/>
            <w:vAlign w:val="center"/>
          </w:tcPr>
          <w:p>
            <w:pPr>
              <w:widowControl/>
              <w:autoSpaceDE/>
              <w:autoSpaceDN/>
              <w:ind w:firstLine="0" w:firstLineChars="0"/>
              <w:jc w:val="center"/>
              <w:rPr>
                <w:rFonts w:ascii="Times New Roman" w:hAnsi="Times New Roman" w:eastAsia="楷体"/>
                <w:kern w:val="4"/>
                <w:sz w:val="21"/>
                <w:szCs w:val="21"/>
              </w:rPr>
            </w:pPr>
          </w:p>
        </w:tc>
        <w:tc>
          <w:tcPr>
            <w:tcW w:w="181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30,000</w:t>
            </w: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5</w:t>
            </w:r>
            <w:r>
              <w:rPr>
                <w:rFonts w:ascii="Times New Roman" w:hAnsi="Times New Roman"/>
                <w:kern w:val="4"/>
                <w:sz w:val="21"/>
                <w:szCs w:val="21"/>
              </w:rPr>
              <w:t>,</w:t>
            </w:r>
            <w:r>
              <w:rPr>
                <w:rFonts w:ascii="Times New Roman" w:hAnsi="Times New Roman" w:eastAsia="楷体"/>
                <w:kern w:val="4"/>
                <w:sz w:val="21"/>
                <w:szCs w:val="21"/>
              </w:rPr>
              <w:t>150</w:t>
            </w:r>
          </w:p>
        </w:tc>
        <w:tc>
          <w:tcPr>
            <w:tcW w:w="181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24,850</w:t>
            </w: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p>
        </w:tc>
        <w:tc>
          <w:tcPr>
            <w:tcW w:w="1130" w:type="dxa"/>
            <w:vAlign w:val="center"/>
          </w:tcPr>
          <w:p>
            <w:pPr>
              <w:widowControl/>
              <w:autoSpaceDE/>
              <w:autoSpaceDN/>
              <w:ind w:firstLine="0" w:firstLineChars="0"/>
              <w:jc w:val="center"/>
              <w:rPr>
                <w:rFonts w:ascii="Times New Roman" w:hAnsi="Times New Roman" w:eastAsia="楷体"/>
                <w:kern w:val="4"/>
                <w:sz w:val="21"/>
                <w:szCs w:val="21"/>
              </w:rPr>
            </w:pPr>
          </w:p>
        </w:tc>
        <w:tc>
          <w:tcPr>
            <w:tcW w:w="1331" w:type="dxa"/>
            <w:noWrap/>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二</w:t>
            </w:r>
          </w:p>
        </w:tc>
        <w:tc>
          <w:tcPr>
            <w:tcW w:w="2231" w:type="dxa"/>
            <w:noWrap/>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轨道项目</w:t>
            </w:r>
          </w:p>
        </w:tc>
        <w:tc>
          <w:tcPr>
            <w:tcW w:w="1051" w:type="dxa"/>
            <w:vAlign w:val="center"/>
          </w:tcPr>
          <w:p>
            <w:pPr>
              <w:widowControl/>
              <w:autoSpaceDE/>
              <w:autoSpaceDN/>
              <w:ind w:firstLine="0" w:firstLineChars="0"/>
              <w:jc w:val="center"/>
              <w:rPr>
                <w:rFonts w:ascii="Times New Roman" w:hAnsi="Times New Roman" w:eastAsia="楷体"/>
                <w:kern w:val="4"/>
                <w:sz w:val="21"/>
                <w:szCs w:val="21"/>
              </w:rPr>
            </w:pPr>
          </w:p>
        </w:tc>
        <w:tc>
          <w:tcPr>
            <w:tcW w:w="3213" w:type="dxa"/>
            <w:gridSpan w:val="2"/>
            <w:vAlign w:val="center"/>
          </w:tcPr>
          <w:p>
            <w:pPr>
              <w:widowControl/>
              <w:autoSpaceDE/>
              <w:autoSpaceDN/>
              <w:ind w:firstLine="0" w:firstLineChars="0"/>
              <w:jc w:val="center"/>
              <w:rPr>
                <w:rFonts w:ascii="Times New Roman" w:hAnsi="Times New Roman" w:eastAsia="楷体"/>
                <w:kern w:val="4"/>
                <w:sz w:val="21"/>
                <w:szCs w:val="21"/>
              </w:rPr>
            </w:pPr>
          </w:p>
        </w:tc>
        <w:tc>
          <w:tcPr>
            <w:tcW w:w="1542" w:type="dxa"/>
            <w:vAlign w:val="center"/>
          </w:tcPr>
          <w:p>
            <w:pPr>
              <w:widowControl/>
              <w:autoSpaceDE/>
              <w:autoSpaceDN/>
              <w:ind w:firstLine="0" w:firstLineChars="0"/>
              <w:jc w:val="center"/>
              <w:rPr>
                <w:rFonts w:ascii="Times New Roman" w:hAnsi="Times New Roman" w:eastAsia="楷体"/>
                <w:kern w:val="4"/>
                <w:sz w:val="21"/>
                <w:szCs w:val="21"/>
              </w:rPr>
            </w:pPr>
          </w:p>
        </w:tc>
        <w:tc>
          <w:tcPr>
            <w:tcW w:w="1808" w:type="dxa"/>
            <w:vAlign w:val="center"/>
          </w:tcPr>
          <w:p>
            <w:pPr>
              <w:ind w:firstLine="0" w:firstLineChars="0"/>
              <w:jc w:val="center"/>
              <w:rPr>
                <w:rFonts w:ascii="Times New Roman" w:hAnsi="Times New Roman" w:eastAsia="宋体"/>
                <w:b/>
                <w:bCs/>
                <w:kern w:val="4"/>
                <w:sz w:val="21"/>
                <w:szCs w:val="21"/>
              </w:rPr>
            </w:pPr>
            <w:r>
              <w:rPr>
                <w:rFonts w:ascii="Times New Roman" w:hAnsi="Times New Roman"/>
                <w:b/>
                <w:bCs/>
                <w:kern w:val="4"/>
                <w:sz w:val="21"/>
                <w:szCs w:val="21"/>
              </w:rPr>
              <w:t>1,410,500</w:t>
            </w:r>
          </w:p>
        </w:tc>
        <w:tc>
          <w:tcPr>
            <w:tcW w:w="1518" w:type="dxa"/>
            <w:vAlign w:val="center"/>
          </w:tcPr>
          <w:p>
            <w:pPr>
              <w:ind w:firstLine="0" w:firstLineChars="0"/>
              <w:jc w:val="center"/>
              <w:rPr>
                <w:rFonts w:ascii="Times New Roman" w:hAnsi="Times New Roman" w:eastAsia="宋体"/>
                <w:b/>
                <w:bCs/>
                <w:kern w:val="4"/>
                <w:sz w:val="21"/>
                <w:szCs w:val="21"/>
              </w:rPr>
            </w:pPr>
            <w:r>
              <w:rPr>
                <w:rFonts w:ascii="Times New Roman" w:hAnsi="Times New Roman"/>
                <w:b/>
                <w:bCs/>
                <w:kern w:val="4"/>
                <w:sz w:val="21"/>
                <w:szCs w:val="21"/>
              </w:rPr>
              <w:t>298,400</w:t>
            </w:r>
          </w:p>
        </w:tc>
        <w:tc>
          <w:tcPr>
            <w:tcW w:w="1819" w:type="dxa"/>
            <w:vAlign w:val="center"/>
          </w:tcPr>
          <w:p>
            <w:pPr>
              <w:ind w:firstLine="0" w:firstLineChars="0"/>
              <w:jc w:val="center"/>
              <w:rPr>
                <w:rFonts w:ascii="Times New Roman" w:hAnsi="Times New Roman" w:eastAsia="宋体"/>
                <w:b/>
                <w:bCs/>
                <w:kern w:val="4"/>
                <w:sz w:val="21"/>
                <w:szCs w:val="21"/>
              </w:rPr>
            </w:pPr>
            <w:r>
              <w:rPr>
                <w:rFonts w:ascii="Times New Roman" w:hAnsi="Times New Roman"/>
                <w:b/>
                <w:bCs/>
                <w:kern w:val="4"/>
                <w:sz w:val="21"/>
                <w:szCs w:val="21"/>
              </w:rPr>
              <w:t>1,112,100</w:t>
            </w:r>
          </w:p>
        </w:tc>
        <w:tc>
          <w:tcPr>
            <w:tcW w:w="1518" w:type="dxa"/>
            <w:vAlign w:val="center"/>
          </w:tcPr>
          <w:p>
            <w:pPr>
              <w:ind w:firstLine="0" w:firstLineChars="0"/>
              <w:jc w:val="center"/>
              <w:rPr>
                <w:rFonts w:ascii="Times New Roman" w:hAnsi="Times New Roman" w:eastAsia="宋体"/>
                <w:b/>
                <w:bCs/>
                <w:kern w:val="4"/>
                <w:sz w:val="21"/>
                <w:szCs w:val="21"/>
              </w:rPr>
            </w:pPr>
          </w:p>
        </w:tc>
        <w:tc>
          <w:tcPr>
            <w:tcW w:w="1819" w:type="dxa"/>
            <w:vAlign w:val="center"/>
          </w:tcPr>
          <w:p>
            <w:pPr>
              <w:ind w:firstLine="0" w:firstLineChars="0"/>
              <w:jc w:val="center"/>
              <w:rPr>
                <w:rFonts w:ascii="Times New Roman" w:hAnsi="Times New Roman" w:eastAsia="宋体"/>
                <w:b/>
                <w:bCs/>
                <w:kern w:val="4"/>
                <w:sz w:val="21"/>
                <w:szCs w:val="21"/>
              </w:rPr>
            </w:pPr>
            <w:r>
              <w:rPr>
                <w:rFonts w:ascii="Times New Roman" w:hAnsi="Times New Roman"/>
                <w:b/>
                <w:bCs/>
                <w:kern w:val="4"/>
                <w:sz w:val="21"/>
                <w:szCs w:val="21"/>
              </w:rPr>
              <w:t>417,162</w:t>
            </w:r>
          </w:p>
        </w:tc>
        <w:tc>
          <w:tcPr>
            <w:tcW w:w="1518" w:type="dxa"/>
            <w:vAlign w:val="center"/>
          </w:tcPr>
          <w:p>
            <w:pPr>
              <w:ind w:firstLine="0" w:firstLineChars="0"/>
              <w:jc w:val="center"/>
              <w:rPr>
                <w:rFonts w:ascii="Times New Roman" w:hAnsi="Times New Roman" w:eastAsia="宋体"/>
                <w:b/>
                <w:bCs/>
                <w:kern w:val="4"/>
                <w:sz w:val="21"/>
                <w:szCs w:val="21"/>
              </w:rPr>
            </w:pPr>
            <w:r>
              <w:rPr>
                <w:rFonts w:ascii="Times New Roman" w:hAnsi="Times New Roman"/>
                <w:b/>
                <w:bCs/>
                <w:kern w:val="4"/>
                <w:sz w:val="21"/>
                <w:szCs w:val="21"/>
              </w:rPr>
              <w:t>694,938</w:t>
            </w:r>
          </w:p>
        </w:tc>
        <w:tc>
          <w:tcPr>
            <w:tcW w:w="1130" w:type="dxa"/>
            <w:vAlign w:val="center"/>
          </w:tcPr>
          <w:p>
            <w:pPr>
              <w:ind w:firstLine="0" w:firstLineChars="0"/>
              <w:jc w:val="center"/>
              <w:rPr>
                <w:rFonts w:ascii="Times New Roman" w:hAnsi="Times New Roman" w:eastAsia="宋体"/>
                <w:b/>
                <w:bCs/>
                <w:kern w:val="4"/>
                <w:sz w:val="21"/>
                <w:szCs w:val="21"/>
              </w:rPr>
            </w:pPr>
            <w:r>
              <w:rPr>
                <w:rFonts w:ascii="Times New Roman" w:hAnsi="Times New Roman"/>
                <w:b/>
                <w:bCs/>
                <w:kern w:val="4"/>
                <w:sz w:val="21"/>
                <w:szCs w:val="21"/>
              </w:rPr>
              <w:t>966</w:t>
            </w:r>
          </w:p>
        </w:tc>
        <w:tc>
          <w:tcPr>
            <w:tcW w:w="1331" w:type="dxa"/>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9</w:t>
            </w:r>
          </w:p>
        </w:tc>
        <w:tc>
          <w:tcPr>
            <w:tcW w:w="2231"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轨道交通S7线溧水段</w:t>
            </w:r>
          </w:p>
        </w:tc>
        <w:tc>
          <w:tcPr>
            <w:tcW w:w="105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续建</w:t>
            </w:r>
          </w:p>
        </w:tc>
        <w:tc>
          <w:tcPr>
            <w:tcW w:w="3213" w:type="dxa"/>
            <w:gridSpan w:val="2"/>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溧水区内总里程约27.8公里，建柘塘、柘塘新区、金山、团山、溧水、中山东路、金龙路和无想山8个站</w:t>
            </w:r>
          </w:p>
        </w:tc>
        <w:tc>
          <w:tcPr>
            <w:tcW w:w="1542"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2014-2018</w:t>
            </w:r>
          </w:p>
        </w:tc>
        <w:tc>
          <w:tcPr>
            <w:tcW w:w="1808"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948,400</w:t>
            </w: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198,400</w:t>
            </w:r>
          </w:p>
        </w:tc>
        <w:tc>
          <w:tcPr>
            <w:tcW w:w="181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750,000</w:t>
            </w: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p>
        </w:tc>
        <w:tc>
          <w:tcPr>
            <w:tcW w:w="181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281,250</w:t>
            </w: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468,750</w:t>
            </w:r>
          </w:p>
        </w:tc>
        <w:tc>
          <w:tcPr>
            <w:tcW w:w="1130"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549</w:t>
            </w:r>
          </w:p>
        </w:tc>
        <w:tc>
          <w:tcPr>
            <w:tcW w:w="133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w:t>
            </w:r>
            <w:r>
              <w:rPr>
                <w:rFonts w:hint="eastAsia" w:eastAsia="宋体" w:cs="宋体"/>
                <w:kern w:val="4"/>
                <w:sz w:val="21"/>
                <w:szCs w:val="21"/>
              </w:rPr>
              <w:t>△</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10</w:t>
            </w:r>
          </w:p>
        </w:tc>
        <w:tc>
          <w:tcPr>
            <w:tcW w:w="2231"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轨道交通S1线溧水段</w:t>
            </w:r>
          </w:p>
        </w:tc>
        <w:tc>
          <w:tcPr>
            <w:tcW w:w="105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续建</w:t>
            </w:r>
          </w:p>
        </w:tc>
        <w:tc>
          <w:tcPr>
            <w:tcW w:w="3213" w:type="dxa"/>
            <w:gridSpan w:val="2"/>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溧水区总里程约17.9公里，新建石湫和明觉2个站</w:t>
            </w:r>
          </w:p>
        </w:tc>
        <w:tc>
          <w:tcPr>
            <w:tcW w:w="1542"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2014-2017</w:t>
            </w:r>
          </w:p>
        </w:tc>
        <w:tc>
          <w:tcPr>
            <w:tcW w:w="1808"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461,900</w:t>
            </w: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100,000</w:t>
            </w:r>
          </w:p>
        </w:tc>
        <w:tc>
          <w:tcPr>
            <w:tcW w:w="1819" w:type="dxa"/>
            <w:noWrap/>
            <w:vAlign w:val="center"/>
          </w:tcPr>
          <w:p>
            <w:pPr>
              <w:widowControl/>
              <w:autoSpaceDE/>
              <w:autoSpaceDN/>
              <w:ind w:firstLine="0" w:firstLineChars="0"/>
              <w:jc w:val="center"/>
              <w:rPr>
                <w:rFonts w:ascii="Times New Roman" w:hAnsi="Times New Roman" w:eastAsia="宋体"/>
                <w:kern w:val="4"/>
                <w:sz w:val="20"/>
                <w:szCs w:val="20"/>
              </w:rPr>
            </w:pPr>
            <w:r>
              <w:rPr>
                <w:rFonts w:ascii="Times New Roman" w:hAnsi="Times New Roman" w:eastAsia="宋体"/>
                <w:kern w:val="4"/>
                <w:sz w:val="20"/>
                <w:szCs w:val="20"/>
              </w:rPr>
              <w:t>361,900</w:t>
            </w: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p>
        </w:tc>
        <w:tc>
          <w:tcPr>
            <w:tcW w:w="181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135,712</w:t>
            </w: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226,188</w:t>
            </w:r>
          </w:p>
        </w:tc>
        <w:tc>
          <w:tcPr>
            <w:tcW w:w="1130"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417</w:t>
            </w:r>
          </w:p>
        </w:tc>
        <w:tc>
          <w:tcPr>
            <w:tcW w:w="1331" w:type="dxa"/>
            <w:noWrap/>
            <w:vAlign w:val="center"/>
          </w:tcPr>
          <w:p>
            <w:pPr>
              <w:widowControl/>
              <w:autoSpaceDE/>
              <w:autoSpaceDN/>
              <w:ind w:firstLine="0" w:firstLineChars="0"/>
              <w:jc w:val="center"/>
              <w:rPr>
                <w:rFonts w:ascii="Times New Roman" w:hAnsi="Times New Roman" w:eastAsia="宋体"/>
                <w:kern w:val="4"/>
                <w:sz w:val="20"/>
                <w:szCs w:val="20"/>
              </w:rPr>
            </w:pPr>
            <w:r>
              <w:rPr>
                <w:rFonts w:ascii="Times New Roman" w:hAnsi="Times New Roman" w:eastAsia="宋体"/>
                <w:kern w:val="4"/>
                <w:sz w:val="20"/>
                <w:szCs w:val="20"/>
              </w:rPr>
              <w:t>○</w:t>
            </w:r>
            <w:r>
              <w:rPr>
                <w:rFonts w:hint="eastAsia" w:eastAsia="宋体" w:cs="宋体"/>
                <w:kern w:val="4"/>
                <w:sz w:val="20"/>
                <w:szCs w:val="20"/>
              </w:rPr>
              <w:t>△</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11</w:t>
            </w:r>
          </w:p>
        </w:tc>
        <w:tc>
          <w:tcPr>
            <w:tcW w:w="2231"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前期研究</w:t>
            </w:r>
          </w:p>
        </w:tc>
        <w:tc>
          <w:tcPr>
            <w:tcW w:w="1051" w:type="dxa"/>
            <w:vAlign w:val="center"/>
          </w:tcPr>
          <w:p>
            <w:pPr>
              <w:widowControl/>
              <w:autoSpaceDE/>
              <w:autoSpaceDN/>
              <w:ind w:firstLine="0" w:firstLineChars="0"/>
              <w:jc w:val="center"/>
              <w:rPr>
                <w:rFonts w:ascii="Times New Roman" w:hAnsi="Times New Roman" w:eastAsia="楷体"/>
                <w:kern w:val="4"/>
                <w:sz w:val="21"/>
                <w:szCs w:val="21"/>
              </w:rPr>
            </w:pPr>
          </w:p>
        </w:tc>
        <w:tc>
          <w:tcPr>
            <w:tcW w:w="3213" w:type="dxa"/>
            <w:gridSpan w:val="2"/>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云轨前期研究；</w:t>
            </w:r>
            <w:r>
              <w:rPr>
                <w:rFonts w:ascii="Times New Roman" w:hAnsi="Times New Roman" w:eastAsia="楷体"/>
                <w:kern w:val="4"/>
                <w:sz w:val="21"/>
                <w:szCs w:val="21"/>
              </w:rPr>
              <w:t>镇宣高铁（连镇铁路南延）溧水段线路前期研究；扬马城际铁路前期研究</w:t>
            </w:r>
          </w:p>
        </w:tc>
        <w:tc>
          <w:tcPr>
            <w:tcW w:w="1542" w:type="dxa"/>
            <w:vAlign w:val="center"/>
          </w:tcPr>
          <w:p>
            <w:pPr>
              <w:widowControl/>
              <w:autoSpaceDE/>
              <w:autoSpaceDN/>
              <w:ind w:firstLine="0" w:firstLineChars="0"/>
              <w:jc w:val="center"/>
              <w:rPr>
                <w:rFonts w:ascii="Times New Roman" w:hAnsi="Times New Roman" w:eastAsia="楷体"/>
                <w:kern w:val="4"/>
                <w:sz w:val="21"/>
                <w:szCs w:val="21"/>
              </w:rPr>
            </w:pPr>
          </w:p>
        </w:tc>
        <w:tc>
          <w:tcPr>
            <w:tcW w:w="1808"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200</w:t>
            </w: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p>
        </w:tc>
        <w:tc>
          <w:tcPr>
            <w:tcW w:w="1819"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200</w:t>
            </w: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p>
        </w:tc>
        <w:tc>
          <w:tcPr>
            <w:tcW w:w="181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200</w:t>
            </w: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p>
        </w:tc>
        <w:tc>
          <w:tcPr>
            <w:tcW w:w="1130" w:type="dxa"/>
            <w:vAlign w:val="center"/>
          </w:tcPr>
          <w:p>
            <w:pPr>
              <w:widowControl/>
              <w:autoSpaceDE/>
              <w:autoSpaceDN/>
              <w:ind w:firstLine="0" w:firstLineChars="0"/>
              <w:jc w:val="center"/>
              <w:rPr>
                <w:rFonts w:ascii="Times New Roman" w:hAnsi="Times New Roman" w:eastAsia="楷体"/>
                <w:kern w:val="4"/>
                <w:sz w:val="21"/>
                <w:szCs w:val="21"/>
              </w:rPr>
            </w:pPr>
          </w:p>
        </w:tc>
        <w:tc>
          <w:tcPr>
            <w:tcW w:w="1331" w:type="dxa"/>
            <w:noWrap/>
            <w:vAlign w:val="center"/>
          </w:tcPr>
          <w:p>
            <w:pPr>
              <w:widowControl/>
              <w:autoSpaceDE/>
              <w:autoSpaceDN/>
              <w:ind w:firstLine="0" w:firstLineChars="0"/>
              <w:jc w:val="center"/>
              <w:rPr>
                <w:rFonts w:ascii="Times New Roman" w:hAnsi="Times New Roman" w:eastAsia="宋体"/>
                <w:kern w:val="4"/>
                <w:sz w:val="20"/>
                <w:szCs w:val="20"/>
              </w:rPr>
            </w:pP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三</w:t>
            </w:r>
          </w:p>
        </w:tc>
        <w:tc>
          <w:tcPr>
            <w:tcW w:w="2231" w:type="dxa"/>
            <w:noWrap/>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水运项目</w:t>
            </w:r>
          </w:p>
        </w:tc>
        <w:tc>
          <w:tcPr>
            <w:tcW w:w="1051" w:type="dxa"/>
            <w:vAlign w:val="center"/>
          </w:tcPr>
          <w:p>
            <w:pPr>
              <w:widowControl/>
              <w:autoSpaceDE/>
              <w:autoSpaceDN/>
              <w:ind w:firstLine="0" w:firstLineChars="0"/>
              <w:jc w:val="center"/>
              <w:rPr>
                <w:rFonts w:ascii="Times New Roman" w:hAnsi="Times New Roman" w:eastAsia="楷体"/>
                <w:kern w:val="4"/>
                <w:sz w:val="21"/>
                <w:szCs w:val="21"/>
              </w:rPr>
            </w:pPr>
          </w:p>
        </w:tc>
        <w:tc>
          <w:tcPr>
            <w:tcW w:w="3213" w:type="dxa"/>
            <w:gridSpan w:val="2"/>
            <w:vAlign w:val="center"/>
          </w:tcPr>
          <w:p>
            <w:pPr>
              <w:widowControl/>
              <w:autoSpaceDE/>
              <w:autoSpaceDN/>
              <w:ind w:firstLine="0" w:firstLineChars="0"/>
              <w:jc w:val="center"/>
              <w:rPr>
                <w:rFonts w:ascii="Times New Roman" w:hAnsi="Times New Roman" w:eastAsia="楷体"/>
                <w:kern w:val="4"/>
                <w:sz w:val="21"/>
                <w:szCs w:val="21"/>
              </w:rPr>
            </w:pPr>
          </w:p>
        </w:tc>
        <w:tc>
          <w:tcPr>
            <w:tcW w:w="1542" w:type="dxa"/>
            <w:vAlign w:val="center"/>
          </w:tcPr>
          <w:p>
            <w:pPr>
              <w:widowControl/>
              <w:autoSpaceDE/>
              <w:autoSpaceDN/>
              <w:ind w:firstLine="0" w:firstLineChars="0"/>
              <w:jc w:val="center"/>
              <w:rPr>
                <w:rFonts w:ascii="Times New Roman" w:hAnsi="Times New Roman" w:eastAsia="楷体"/>
                <w:kern w:val="4"/>
                <w:sz w:val="21"/>
                <w:szCs w:val="21"/>
              </w:rPr>
            </w:pPr>
          </w:p>
        </w:tc>
        <w:tc>
          <w:tcPr>
            <w:tcW w:w="1808"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370,000</w:t>
            </w:r>
          </w:p>
        </w:tc>
        <w:tc>
          <w:tcPr>
            <w:tcW w:w="1518" w:type="dxa"/>
            <w:vAlign w:val="center"/>
          </w:tcPr>
          <w:p>
            <w:pPr>
              <w:widowControl/>
              <w:autoSpaceDE/>
              <w:autoSpaceDN/>
              <w:ind w:firstLine="0" w:firstLineChars="0"/>
              <w:jc w:val="center"/>
              <w:rPr>
                <w:rFonts w:ascii="Times New Roman" w:hAnsi="Times New Roman" w:eastAsia="楷体"/>
                <w:b/>
                <w:bCs/>
                <w:kern w:val="4"/>
                <w:sz w:val="21"/>
                <w:szCs w:val="21"/>
              </w:rPr>
            </w:pPr>
          </w:p>
        </w:tc>
        <w:tc>
          <w:tcPr>
            <w:tcW w:w="1819"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370,000</w:t>
            </w:r>
          </w:p>
        </w:tc>
        <w:tc>
          <w:tcPr>
            <w:tcW w:w="1518" w:type="dxa"/>
            <w:vAlign w:val="center"/>
          </w:tcPr>
          <w:p>
            <w:pPr>
              <w:widowControl/>
              <w:autoSpaceDE/>
              <w:autoSpaceDN/>
              <w:ind w:firstLine="0" w:firstLineChars="0"/>
              <w:jc w:val="center"/>
              <w:rPr>
                <w:rFonts w:ascii="Times New Roman" w:hAnsi="Times New Roman" w:eastAsia="宋体"/>
                <w:b/>
                <w:bCs/>
                <w:color w:val="000000"/>
                <w:kern w:val="4"/>
                <w:sz w:val="21"/>
                <w:szCs w:val="21"/>
              </w:rPr>
            </w:pPr>
            <w:r>
              <w:rPr>
                <w:rFonts w:ascii="Times New Roman" w:hAnsi="Times New Roman"/>
                <w:b/>
                <w:bCs/>
                <w:color w:val="000000"/>
                <w:kern w:val="4"/>
                <w:sz w:val="21"/>
                <w:szCs w:val="21"/>
              </w:rPr>
              <w:t>330,000</w:t>
            </w:r>
          </w:p>
        </w:tc>
        <w:tc>
          <w:tcPr>
            <w:tcW w:w="1819"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5,000</w:t>
            </w:r>
          </w:p>
        </w:tc>
        <w:tc>
          <w:tcPr>
            <w:tcW w:w="1518"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35,000</w:t>
            </w:r>
          </w:p>
        </w:tc>
        <w:tc>
          <w:tcPr>
            <w:tcW w:w="1130"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4,163</w:t>
            </w:r>
          </w:p>
        </w:tc>
        <w:tc>
          <w:tcPr>
            <w:tcW w:w="1331" w:type="dxa"/>
            <w:noWrap/>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（一）</w:t>
            </w:r>
          </w:p>
        </w:tc>
        <w:tc>
          <w:tcPr>
            <w:tcW w:w="2231" w:type="dxa"/>
            <w:noWrap/>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航道</w:t>
            </w:r>
          </w:p>
        </w:tc>
        <w:tc>
          <w:tcPr>
            <w:tcW w:w="1051" w:type="dxa"/>
            <w:vAlign w:val="center"/>
          </w:tcPr>
          <w:p>
            <w:pPr>
              <w:widowControl/>
              <w:autoSpaceDE/>
              <w:autoSpaceDN/>
              <w:ind w:firstLine="0" w:firstLineChars="0"/>
              <w:jc w:val="center"/>
              <w:rPr>
                <w:rFonts w:ascii="Times New Roman" w:hAnsi="Times New Roman" w:eastAsia="楷体"/>
                <w:kern w:val="4"/>
                <w:sz w:val="21"/>
                <w:szCs w:val="21"/>
              </w:rPr>
            </w:pPr>
          </w:p>
        </w:tc>
        <w:tc>
          <w:tcPr>
            <w:tcW w:w="3213" w:type="dxa"/>
            <w:gridSpan w:val="2"/>
            <w:vAlign w:val="center"/>
          </w:tcPr>
          <w:p>
            <w:pPr>
              <w:widowControl/>
              <w:autoSpaceDE/>
              <w:autoSpaceDN/>
              <w:ind w:firstLine="0" w:firstLineChars="0"/>
              <w:jc w:val="center"/>
              <w:rPr>
                <w:rFonts w:ascii="Times New Roman" w:hAnsi="Times New Roman" w:eastAsia="楷体"/>
                <w:kern w:val="4"/>
                <w:sz w:val="21"/>
                <w:szCs w:val="21"/>
              </w:rPr>
            </w:pPr>
          </w:p>
        </w:tc>
        <w:tc>
          <w:tcPr>
            <w:tcW w:w="1542" w:type="dxa"/>
            <w:vAlign w:val="center"/>
          </w:tcPr>
          <w:p>
            <w:pPr>
              <w:widowControl/>
              <w:autoSpaceDE/>
              <w:autoSpaceDN/>
              <w:ind w:firstLine="0" w:firstLineChars="0"/>
              <w:jc w:val="center"/>
              <w:rPr>
                <w:rFonts w:ascii="Times New Roman" w:hAnsi="Times New Roman" w:eastAsia="楷体"/>
                <w:kern w:val="4"/>
                <w:sz w:val="21"/>
                <w:szCs w:val="21"/>
              </w:rPr>
            </w:pPr>
          </w:p>
        </w:tc>
        <w:tc>
          <w:tcPr>
            <w:tcW w:w="1808"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330,000</w:t>
            </w:r>
          </w:p>
        </w:tc>
        <w:tc>
          <w:tcPr>
            <w:tcW w:w="1518" w:type="dxa"/>
            <w:vAlign w:val="center"/>
          </w:tcPr>
          <w:p>
            <w:pPr>
              <w:widowControl/>
              <w:autoSpaceDE/>
              <w:autoSpaceDN/>
              <w:ind w:firstLine="0" w:firstLineChars="0"/>
              <w:jc w:val="center"/>
              <w:rPr>
                <w:rFonts w:ascii="Times New Roman" w:hAnsi="Times New Roman" w:eastAsia="楷体"/>
                <w:b/>
                <w:bCs/>
                <w:kern w:val="4"/>
                <w:sz w:val="21"/>
                <w:szCs w:val="21"/>
              </w:rPr>
            </w:pPr>
          </w:p>
        </w:tc>
        <w:tc>
          <w:tcPr>
            <w:tcW w:w="1819"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330,000</w:t>
            </w:r>
          </w:p>
        </w:tc>
        <w:tc>
          <w:tcPr>
            <w:tcW w:w="1518" w:type="dxa"/>
            <w:vAlign w:val="center"/>
          </w:tcPr>
          <w:p>
            <w:pPr>
              <w:ind w:firstLine="0" w:firstLineChars="0"/>
              <w:jc w:val="center"/>
              <w:rPr>
                <w:rFonts w:ascii="Times New Roman" w:hAnsi="Times New Roman"/>
                <w:b/>
                <w:bCs/>
                <w:color w:val="000000"/>
                <w:kern w:val="4"/>
                <w:sz w:val="21"/>
                <w:szCs w:val="21"/>
              </w:rPr>
            </w:pPr>
            <w:r>
              <w:rPr>
                <w:rFonts w:ascii="Times New Roman" w:hAnsi="Times New Roman"/>
                <w:b/>
                <w:bCs/>
                <w:color w:val="000000"/>
                <w:kern w:val="4"/>
                <w:sz w:val="21"/>
                <w:szCs w:val="21"/>
              </w:rPr>
              <w:t>330000</w:t>
            </w:r>
          </w:p>
        </w:tc>
        <w:tc>
          <w:tcPr>
            <w:tcW w:w="1819" w:type="dxa"/>
            <w:vAlign w:val="center"/>
          </w:tcPr>
          <w:p>
            <w:pPr>
              <w:widowControl/>
              <w:autoSpaceDE/>
              <w:autoSpaceDN/>
              <w:ind w:firstLine="0" w:firstLineChars="0"/>
              <w:jc w:val="center"/>
              <w:rPr>
                <w:rFonts w:ascii="Times New Roman" w:hAnsi="Times New Roman" w:eastAsia="楷体"/>
                <w:b/>
                <w:bCs/>
                <w:kern w:val="4"/>
                <w:sz w:val="21"/>
                <w:szCs w:val="21"/>
              </w:rPr>
            </w:pPr>
          </w:p>
        </w:tc>
        <w:tc>
          <w:tcPr>
            <w:tcW w:w="1518" w:type="dxa"/>
            <w:vAlign w:val="center"/>
          </w:tcPr>
          <w:p>
            <w:pPr>
              <w:widowControl/>
              <w:autoSpaceDE/>
              <w:autoSpaceDN/>
              <w:ind w:firstLine="0" w:firstLineChars="0"/>
              <w:jc w:val="center"/>
              <w:rPr>
                <w:rFonts w:ascii="Times New Roman" w:hAnsi="Times New Roman" w:eastAsia="楷体"/>
                <w:b/>
                <w:bCs/>
                <w:kern w:val="4"/>
                <w:sz w:val="21"/>
                <w:szCs w:val="21"/>
              </w:rPr>
            </w:pPr>
          </w:p>
        </w:tc>
        <w:tc>
          <w:tcPr>
            <w:tcW w:w="1130"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3,300</w:t>
            </w:r>
          </w:p>
        </w:tc>
        <w:tc>
          <w:tcPr>
            <w:tcW w:w="1331" w:type="dxa"/>
            <w:noWrap/>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12</w:t>
            </w:r>
          </w:p>
        </w:tc>
        <w:tc>
          <w:tcPr>
            <w:tcW w:w="2231"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秦淮河航道整治工程</w:t>
            </w:r>
          </w:p>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（含</w:t>
            </w:r>
            <w:r>
              <w:rPr>
                <w:rFonts w:ascii="Times New Roman" w:hAnsi="Times New Roman" w:eastAsia="楷体"/>
                <w:kern w:val="4"/>
                <w:sz w:val="21"/>
                <w:szCs w:val="21"/>
              </w:rPr>
              <w:t>溧水支线</w:t>
            </w:r>
            <w:r>
              <w:rPr>
                <w:rFonts w:hint="eastAsia" w:ascii="Times New Roman" w:hAnsi="Times New Roman" w:eastAsia="楷体"/>
                <w:kern w:val="4"/>
                <w:sz w:val="21"/>
                <w:szCs w:val="21"/>
              </w:rPr>
              <w:t>）</w:t>
            </w:r>
          </w:p>
        </w:tc>
        <w:tc>
          <w:tcPr>
            <w:tcW w:w="1051" w:type="dxa"/>
            <w:vAlign w:val="center"/>
          </w:tcPr>
          <w:p>
            <w:pPr>
              <w:widowControl/>
              <w:autoSpaceDE/>
              <w:autoSpaceDN/>
              <w:ind w:firstLine="0" w:firstLineChars="0"/>
              <w:jc w:val="center"/>
              <w:rPr>
                <w:rFonts w:ascii="Times New Roman" w:hAnsi="Times New Roman" w:eastAsia="楷体"/>
                <w:kern w:val="4"/>
                <w:sz w:val="21"/>
                <w:szCs w:val="21"/>
              </w:rPr>
            </w:pPr>
          </w:p>
        </w:tc>
        <w:tc>
          <w:tcPr>
            <w:tcW w:w="3213" w:type="dxa"/>
            <w:gridSpan w:val="2"/>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境内46.2公里秦淮河航道，改造碍航桥梁16座，新建船闸1座，水上服务区1座，停泊锚地1座</w:t>
            </w:r>
          </w:p>
        </w:tc>
        <w:tc>
          <w:tcPr>
            <w:tcW w:w="1542"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2015-2020</w:t>
            </w:r>
          </w:p>
        </w:tc>
        <w:tc>
          <w:tcPr>
            <w:tcW w:w="1808"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330,000</w:t>
            </w: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p>
        </w:tc>
        <w:tc>
          <w:tcPr>
            <w:tcW w:w="181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330,000</w:t>
            </w:r>
          </w:p>
        </w:tc>
        <w:tc>
          <w:tcPr>
            <w:tcW w:w="1518" w:type="dxa"/>
            <w:vAlign w:val="center"/>
          </w:tcPr>
          <w:p>
            <w:pPr>
              <w:ind w:firstLine="0" w:firstLineChars="0"/>
              <w:jc w:val="center"/>
              <w:rPr>
                <w:rFonts w:ascii="Times New Roman" w:hAnsi="Times New Roman"/>
                <w:color w:val="000000"/>
                <w:kern w:val="4"/>
                <w:sz w:val="21"/>
                <w:szCs w:val="21"/>
              </w:rPr>
            </w:pPr>
            <w:r>
              <w:rPr>
                <w:rFonts w:ascii="Times New Roman" w:hAnsi="Times New Roman"/>
                <w:color w:val="000000"/>
                <w:kern w:val="4"/>
                <w:sz w:val="21"/>
                <w:szCs w:val="21"/>
              </w:rPr>
              <w:t>330000</w:t>
            </w:r>
          </w:p>
        </w:tc>
        <w:tc>
          <w:tcPr>
            <w:tcW w:w="1819" w:type="dxa"/>
            <w:vAlign w:val="center"/>
          </w:tcPr>
          <w:p>
            <w:pPr>
              <w:widowControl/>
              <w:autoSpaceDE/>
              <w:autoSpaceDN/>
              <w:ind w:firstLine="0" w:firstLineChars="0"/>
              <w:jc w:val="center"/>
              <w:rPr>
                <w:rFonts w:ascii="Times New Roman" w:hAnsi="Times New Roman" w:eastAsia="楷体"/>
                <w:kern w:val="4"/>
                <w:sz w:val="21"/>
                <w:szCs w:val="21"/>
              </w:rPr>
            </w:pP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p>
        </w:tc>
        <w:tc>
          <w:tcPr>
            <w:tcW w:w="1130"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3,300</w:t>
            </w:r>
          </w:p>
        </w:tc>
        <w:tc>
          <w:tcPr>
            <w:tcW w:w="1331"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w:t>
            </w:r>
            <w:r>
              <w:rPr>
                <w:rFonts w:hint="eastAsia" w:eastAsia="宋体" w:cs="宋体"/>
                <w:kern w:val="4"/>
                <w:sz w:val="21"/>
                <w:szCs w:val="21"/>
              </w:rPr>
              <w:t>△</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（二）</w:t>
            </w:r>
          </w:p>
        </w:tc>
        <w:tc>
          <w:tcPr>
            <w:tcW w:w="2231" w:type="dxa"/>
            <w:noWrap/>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港口</w:t>
            </w:r>
          </w:p>
        </w:tc>
        <w:tc>
          <w:tcPr>
            <w:tcW w:w="1051" w:type="dxa"/>
            <w:vAlign w:val="center"/>
          </w:tcPr>
          <w:p>
            <w:pPr>
              <w:widowControl/>
              <w:autoSpaceDE/>
              <w:autoSpaceDN/>
              <w:ind w:firstLine="0" w:firstLineChars="0"/>
              <w:jc w:val="center"/>
              <w:rPr>
                <w:rFonts w:ascii="Times New Roman" w:hAnsi="Times New Roman" w:eastAsia="楷体"/>
                <w:kern w:val="4"/>
                <w:sz w:val="21"/>
                <w:szCs w:val="21"/>
              </w:rPr>
            </w:pPr>
          </w:p>
        </w:tc>
        <w:tc>
          <w:tcPr>
            <w:tcW w:w="3213" w:type="dxa"/>
            <w:gridSpan w:val="2"/>
            <w:vAlign w:val="center"/>
          </w:tcPr>
          <w:p>
            <w:pPr>
              <w:widowControl/>
              <w:autoSpaceDE/>
              <w:autoSpaceDN/>
              <w:ind w:firstLine="0" w:firstLineChars="0"/>
              <w:jc w:val="center"/>
              <w:rPr>
                <w:rFonts w:ascii="Times New Roman" w:hAnsi="Times New Roman" w:eastAsia="楷体"/>
                <w:kern w:val="4"/>
                <w:sz w:val="21"/>
                <w:szCs w:val="21"/>
              </w:rPr>
            </w:pPr>
          </w:p>
        </w:tc>
        <w:tc>
          <w:tcPr>
            <w:tcW w:w="1542" w:type="dxa"/>
            <w:vAlign w:val="center"/>
          </w:tcPr>
          <w:p>
            <w:pPr>
              <w:widowControl/>
              <w:autoSpaceDE/>
              <w:autoSpaceDN/>
              <w:ind w:firstLine="0" w:firstLineChars="0"/>
              <w:jc w:val="center"/>
              <w:rPr>
                <w:rFonts w:ascii="Times New Roman" w:hAnsi="Times New Roman" w:eastAsia="楷体"/>
                <w:kern w:val="4"/>
                <w:sz w:val="21"/>
                <w:szCs w:val="21"/>
              </w:rPr>
            </w:pPr>
          </w:p>
        </w:tc>
        <w:tc>
          <w:tcPr>
            <w:tcW w:w="1808"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35,000</w:t>
            </w:r>
          </w:p>
        </w:tc>
        <w:tc>
          <w:tcPr>
            <w:tcW w:w="1518" w:type="dxa"/>
            <w:vAlign w:val="center"/>
          </w:tcPr>
          <w:p>
            <w:pPr>
              <w:widowControl/>
              <w:autoSpaceDE/>
              <w:autoSpaceDN/>
              <w:ind w:firstLine="0" w:firstLineChars="0"/>
              <w:jc w:val="center"/>
              <w:rPr>
                <w:rFonts w:ascii="Times New Roman" w:hAnsi="Times New Roman" w:eastAsia="楷体"/>
                <w:b/>
                <w:bCs/>
                <w:kern w:val="4"/>
                <w:sz w:val="21"/>
                <w:szCs w:val="21"/>
              </w:rPr>
            </w:pPr>
          </w:p>
        </w:tc>
        <w:tc>
          <w:tcPr>
            <w:tcW w:w="1819"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35,000</w:t>
            </w:r>
          </w:p>
        </w:tc>
        <w:tc>
          <w:tcPr>
            <w:tcW w:w="1518" w:type="dxa"/>
            <w:vAlign w:val="center"/>
          </w:tcPr>
          <w:p>
            <w:pPr>
              <w:widowControl/>
              <w:autoSpaceDE/>
              <w:autoSpaceDN/>
              <w:ind w:firstLine="0" w:firstLineChars="0"/>
              <w:jc w:val="center"/>
              <w:rPr>
                <w:rFonts w:ascii="Times New Roman" w:hAnsi="Times New Roman" w:eastAsia="楷体"/>
                <w:b/>
                <w:bCs/>
                <w:kern w:val="4"/>
                <w:sz w:val="21"/>
                <w:szCs w:val="21"/>
              </w:rPr>
            </w:pPr>
          </w:p>
        </w:tc>
        <w:tc>
          <w:tcPr>
            <w:tcW w:w="1819" w:type="dxa"/>
            <w:vAlign w:val="center"/>
          </w:tcPr>
          <w:p>
            <w:pPr>
              <w:widowControl/>
              <w:autoSpaceDE/>
              <w:autoSpaceDN/>
              <w:ind w:firstLine="0" w:firstLineChars="0"/>
              <w:jc w:val="center"/>
              <w:rPr>
                <w:rFonts w:ascii="Times New Roman" w:hAnsi="Times New Roman" w:eastAsia="楷体"/>
                <w:b/>
                <w:bCs/>
                <w:kern w:val="4"/>
                <w:sz w:val="21"/>
                <w:szCs w:val="21"/>
              </w:rPr>
            </w:pPr>
          </w:p>
        </w:tc>
        <w:tc>
          <w:tcPr>
            <w:tcW w:w="1518"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35,000</w:t>
            </w:r>
          </w:p>
        </w:tc>
        <w:tc>
          <w:tcPr>
            <w:tcW w:w="1130"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863</w:t>
            </w:r>
          </w:p>
        </w:tc>
        <w:tc>
          <w:tcPr>
            <w:tcW w:w="1331" w:type="dxa"/>
            <w:noWrap/>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13</w:t>
            </w:r>
          </w:p>
        </w:tc>
        <w:tc>
          <w:tcPr>
            <w:tcW w:w="2231"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溧水港区柘塘作业区</w:t>
            </w:r>
          </w:p>
        </w:tc>
        <w:tc>
          <w:tcPr>
            <w:tcW w:w="105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新建</w:t>
            </w:r>
          </w:p>
        </w:tc>
        <w:tc>
          <w:tcPr>
            <w:tcW w:w="3213" w:type="dxa"/>
            <w:gridSpan w:val="2"/>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12个500吨级泊位</w:t>
            </w:r>
          </w:p>
        </w:tc>
        <w:tc>
          <w:tcPr>
            <w:tcW w:w="1542"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2016-2020</w:t>
            </w:r>
          </w:p>
        </w:tc>
        <w:tc>
          <w:tcPr>
            <w:tcW w:w="1808"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15,000</w:t>
            </w: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p>
        </w:tc>
        <w:tc>
          <w:tcPr>
            <w:tcW w:w="181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15,000</w:t>
            </w: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p>
        </w:tc>
        <w:tc>
          <w:tcPr>
            <w:tcW w:w="1819" w:type="dxa"/>
            <w:vAlign w:val="center"/>
          </w:tcPr>
          <w:p>
            <w:pPr>
              <w:widowControl/>
              <w:autoSpaceDE/>
              <w:autoSpaceDN/>
              <w:ind w:firstLine="0" w:firstLineChars="0"/>
              <w:jc w:val="center"/>
              <w:rPr>
                <w:rFonts w:ascii="Times New Roman" w:hAnsi="Times New Roman" w:eastAsia="楷体"/>
                <w:kern w:val="4"/>
                <w:sz w:val="21"/>
                <w:szCs w:val="21"/>
              </w:rPr>
            </w:pP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15,000</w:t>
            </w:r>
          </w:p>
        </w:tc>
        <w:tc>
          <w:tcPr>
            <w:tcW w:w="1130"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322</w:t>
            </w:r>
          </w:p>
        </w:tc>
        <w:tc>
          <w:tcPr>
            <w:tcW w:w="1331" w:type="dxa"/>
            <w:noWrap/>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14</w:t>
            </w:r>
          </w:p>
        </w:tc>
        <w:tc>
          <w:tcPr>
            <w:tcW w:w="2231"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溧水港区洪蓝作业区</w:t>
            </w:r>
          </w:p>
        </w:tc>
        <w:tc>
          <w:tcPr>
            <w:tcW w:w="105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新建</w:t>
            </w:r>
          </w:p>
        </w:tc>
        <w:tc>
          <w:tcPr>
            <w:tcW w:w="3213" w:type="dxa"/>
            <w:gridSpan w:val="2"/>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14个500吨级泊位（含预留泊位2个）</w:t>
            </w:r>
          </w:p>
        </w:tc>
        <w:tc>
          <w:tcPr>
            <w:tcW w:w="1542"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2016-2020</w:t>
            </w:r>
          </w:p>
        </w:tc>
        <w:tc>
          <w:tcPr>
            <w:tcW w:w="1808"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20,000</w:t>
            </w: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p>
        </w:tc>
        <w:tc>
          <w:tcPr>
            <w:tcW w:w="181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20,000</w:t>
            </w: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p>
        </w:tc>
        <w:tc>
          <w:tcPr>
            <w:tcW w:w="1819" w:type="dxa"/>
            <w:vAlign w:val="center"/>
          </w:tcPr>
          <w:p>
            <w:pPr>
              <w:widowControl/>
              <w:autoSpaceDE/>
              <w:autoSpaceDN/>
              <w:ind w:firstLine="0" w:firstLineChars="0"/>
              <w:jc w:val="center"/>
              <w:rPr>
                <w:rFonts w:ascii="Times New Roman" w:hAnsi="Times New Roman" w:eastAsia="楷体"/>
                <w:kern w:val="4"/>
                <w:sz w:val="21"/>
                <w:szCs w:val="21"/>
              </w:rPr>
            </w:pP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20,000</w:t>
            </w:r>
          </w:p>
        </w:tc>
        <w:tc>
          <w:tcPr>
            <w:tcW w:w="1130"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541</w:t>
            </w:r>
          </w:p>
        </w:tc>
        <w:tc>
          <w:tcPr>
            <w:tcW w:w="1331" w:type="dxa"/>
            <w:noWrap/>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（三）</w:t>
            </w:r>
          </w:p>
        </w:tc>
        <w:tc>
          <w:tcPr>
            <w:tcW w:w="2231" w:type="dxa"/>
            <w:noWrap/>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水上应急搜救中心</w:t>
            </w:r>
          </w:p>
        </w:tc>
        <w:tc>
          <w:tcPr>
            <w:tcW w:w="1051" w:type="dxa"/>
            <w:vAlign w:val="center"/>
          </w:tcPr>
          <w:p>
            <w:pPr>
              <w:widowControl/>
              <w:autoSpaceDE/>
              <w:autoSpaceDN/>
              <w:ind w:firstLine="0" w:firstLineChars="0"/>
              <w:jc w:val="center"/>
              <w:rPr>
                <w:rFonts w:ascii="Times New Roman" w:hAnsi="Times New Roman" w:eastAsia="楷体"/>
                <w:kern w:val="4"/>
                <w:sz w:val="21"/>
                <w:szCs w:val="21"/>
              </w:rPr>
            </w:pPr>
          </w:p>
        </w:tc>
        <w:tc>
          <w:tcPr>
            <w:tcW w:w="3213" w:type="dxa"/>
            <w:gridSpan w:val="2"/>
            <w:vAlign w:val="center"/>
          </w:tcPr>
          <w:p>
            <w:pPr>
              <w:widowControl/>
              <w:autoSpaceDE/>
              <w:autoSpaceDN/>
              <w:ind w:firstLine="0" w:firstLineChars="0"/>
              <w:jc w:val="center"/>
              <w:rPr>
                <w:rFonts w:ascii="Times New Roman" w:hAnsi="Times New Roman" w:eastAsia="楷体"/>
                <w:kern w:val="4"/>
                <w:sz w:val="21"/>
                <w:szCs w:val="21"/>
              </w:rPr>
            </w:pPr>
          </w:p>
        </w:tc>
        <w:tc>
          <w:tcPr>
            <w:tcW w:w="1542" w:type="dxa"/>
            <w:vAlign w:val="center"/>
          </w:tcPr>
          <w:p>
            <w:pPr>
              <w:widowControl/>
              <w:autoSpaceDE/>
              <w:autoSpaceDN/>
              <w:ind w:firstLine="0" w:firstLineChars="0"/>
              <w:jc w:val="center"/>
              <w:rPr>
                <w:rFonts w:ascii="Times New Roman" w:hAnsi="Times New Roman" w:eastAsia="楷体"/>
                <w:kern w:val="4"/>
                <w:sz w:val="21"/>
                <w:szCs w:val="21"/>
              </w:rPr>
            </w:pPr>
          </w:p>
        </w:tc>
        <w:tc>
          <w:tcPr>
            <w:tcW w:w="1808"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5,000</w:t>
            </w:r>
          </w:p>
        </w:tc>
        <w:tc>
          <w:tcPr>
            <w:tcW w:w="1518" w:type="dxa"/>
            <w:vAlign w:val="center"/>
          </w:tcPr>
          <w:p>
            <w:pPr>
              <w:widowControl/>
              <w:autoSpaceDE/>
              <w:autoSpaceDN/>
              <w:ind w:firstLine="0" w:firstLineChars="0"/>
              <w:jc w:val="center"/>
              <w:rPr>
                <w:rFonts w:ascii="Times New Roman" w:hAnsi="Times New Roman" w:eastAsia="楷体"/>
                <w:b/>
                <w:bCs/>
                <w:kern w:val="4"/>
                <w:sz w:val="21"/>
                <w:szCs w:val="21"/>
              </w:rPr>
            </w:pPr>
          </w:p>
        </w:tc>
        <w:tc>
          <w:tcPr>
            <w:tcW w:w="1819"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5,000</w:t>
            </w:r>
          </w:p>
        </w:tc>
        <w:tc>
          <w:tcPr>
            <w:tcW w:w="1518" w:type="dxa"/>
            <w:vAlign w:val="center"/>
          </w:tcPr>
          <w:p>
            <w:pPr>
              <w:widowControl/>
              <w:autoSpaceDE/>
              <w:autoSpaceDN/>
              <w:ind w:firstLine="0" w:firstLineChars="0"/>
              <w:jc w:val="center"/>
              <w:rPr>
                <w:rFonts w:ascii="Times New Roman" w:hAnsi="Times New Roman" w:eastAsia="楷体"/>
                <w:b/>
                <w:bCs/>
                <w:kern w:val="4"/>
                <w:sz w:val="21"/>
                <w:szCs w:val="21"/>
              </w:rPr>
            </w:pPr>
          </w:p>
        </w:tc>
        <w:tc>
          <w:tcPr>
            <w:tcW w:w="1819"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5,000</w:t>
            </w:r>
          </w:p>
        </w:tc>
        <w:tc>
          <w:tcPr>
            <w:tcW w:w="1518" w:type="dxa"/>
            <w:vAlign w:val="center"/>
          </w:tcPr>
          <w:p>
            <w:pPr>
              <w:widowControl/>
              <w:autoSpaceDE/>
              <w:autoSpaceDN/>
              <w:ind w:firstLine="0" w:firstLineChars="0"/>
              <w:jc w:val="center"/>
              <w:rPr>
                <w:rFonts w:ascii="Times New Roman" w:hAnsi="Times New Roman" w:eastAsia="楷体"/>
                <w:b/>
                <w:bCs/>
                <w:kern w:val="4"/>
                <w:sz w:val="21"/>
                <w:szCs w:val="21"/>
              </w:rPr>
            </w:pPr>
          </w:p>
        </w:tc>
        <w:tc>
          <w:tcPr>
            <w:tcW w:w="1130" w:type="dxa"/>
            <w:vAlign w:val="center"/>
          </w:tcPr>
          <w:p>
            <w:pPr>
              <w:widowControl/>
              <w:autoSpaceDE/>
              <w:autoSpaceDN/>
              <w:ind w:firstLine="0" w:firstLineChars="0"/>
              <w:jc w:val="center"/>
              <w:rPr>
                <w:rFonts w:ascii="Times New Roman" w:hAnsi="Times New Roman" w:eastAsia="楷体"/>
                <w:b/>
                <w:bCs/>
                <w:kern w:val="4"/>
                <w:sz w:val="21"/>
                <w:szCs w:val="21"/>
              </w:rPr>
            </w:pPr>
          </w:p>
        </w:tc>
        <w:tc>
          <w:tcPr>
            <w:tcW w:w="1331" w:type="dxa"/>
            <w:noWrap/>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15</w:t>
            </w:r>
          </w:p>
        </w:tc>
        <w:tc>
          <w:tcPr>
            <w:tcW w:w="2231"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水上应急搜救中心</w:t>
            </w:r>
          </w:p>
        </w:tc>
        <w:tc>
          <w:tcPr>
            <w:tcW w:w="1051" w:type="dxa"/>
            <w:noWrap/>
            <w:vAlign w:val="center"/>
          </w:tcPr>
          <w:p>
            <w:pPr>
              <w:widowControl/>
              <w:autoSpaceDE/>
              <w:autoSpaceDN/>
              <w:ind w:firstLine="0" w:firstLineChars="0"/>
              <w:jc w:val="center"/>
              <w:rPr>
                <w:rFonts w:ascii="Times New Roman" w:hAnsi="Times New Roman" w:eastAsia="楷体"/>
                <w:kern w:val="4"/>
                <w:sz w:val="21"/>
                <w:szCs w:val="21"/>
              </w:rPr>
            </w:pPr>
          </w:p>
        </w:tc>
        <w:tc>
          <w:tcPr>
            <w:tcW w:w="3213" w:type="dxa"/>
            <w:gridSpan w:val="2"/>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建设石臼湖搜救中心，建设面积5000平方米</w:t>
            </w:r>
          </w:p>
        </w:tc>
        <w:tc>
          <w:tcPr>
            <w:tcW w:w="1542"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2016-2020</w:t>
            </w:r>
          </w:p>
        </w:tc>
        <w:tc>
          <w:tcPr>
            <w:tcW w:w="1808"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5,000</w:t>
            </w:r>
          </w:p>
        </w:tc>
        <w:tc>
          <w:tcPr>
            <w:tcW w:w="1518" w:type="dxa"/>
            <w:noWrap/>
            <w:vAlign w:val="center"/>
          </w:tcPr>
          <w:p>
            <w:pPr>
              <w:widowControl/>
              <w:autoSpaceDE/>
              <w:autoSpaceDN/>
              <w:ind w:firstLine="0" w:firstLineChars="0"/>
              <w:jc w:val="center"/>
              <w:rPr>
                <w:rFonts w:ascii="Times New Roman" w:hAnsi="Times New Roman" w:eastAsia="楷体"/>
                <w:kern w:val="4"/>
                <w:sz w:val="21"/>
                <w:szCs w:val="21"/>
              </w:rPr>
            </w:pPr>
          </w:p>
        </w:tc>
        <w:tc>
          <w:tcPr>
            <w:tcW w:w="1819"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5,000</w:t>
            </w:r>
          </w:p>
        </w:tc>
        <w:tc>
          <w:tcPr>
            <w:tcW w:w="1518" w:type="dxa"/>
            <w:noWrap/>
            <w:vAlign w:val="center"/>
          </w:tcPr>
          <w:p>
            <w:pPr>
              <w:widowControl/>
              <w:autoSpaceDE/>
              <w:autoSpaceDN/>
              <w:ind w:firstLine="0" w:firstLineChars="0"/>
              <w:jc w:val="center"/>
              <w:rPr>
                <w:rFonts w:ascii="Times New Roman" w:hAnsi="Times New Roman" w:eastAsia="楷体"/>
                <w:kern w:val="4"/>
                <w:sz w:val="21"/>
                <w:szCs w:val="21"/>
              </w:rPr>
            </w:pPr>
          </w:p>
        </w:tc>
        <w:tc>
          <w:tcPr>
            <w:tcW w:w="1819"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5,000</w:t>
            </w:r>
          </w:p>
        </w:tc>
        <w:tc>
          <w:tcPr>
            <w:tcW w:w="1518" w:type="dxa"/>
            <w:noWrap/>
            <w:vAlign w:val="center"/>
          </w:tcPr>
          <w:p>
            <w:pPr>
              <w:widowControl/>
              <w:autoSpaceDE/>
              <w:autoSpaceDN/>
              <w:ind w:firstLine="0" w:firstLineChars="0"/>
              <w:jc w:val="center"/>
              <w:rPr>
                <w:rFonts w:ascii="Times New Roman" w:hAnsi="Times New Roman" w:eastAsia="楷体"/>
                <w:kern w:val="4"/>
                <w:sz w:val="21"/>
                <w:szCs w:val="21"/>
              </w:rPr>
            </w:pPr>
          </w:p>
        </w:tc>
        <w:tc>
          <w:tcPr>
            <w:tcW w:w="1130" w:type="dxa"/>
            <w:noWrap/>
            <w:vAlign w:val="center"/>
          </w:tcPr>
          <w:p>
            <w:pPr>
              <w:widowControl/>
              <w:autoSpaceDE/>
              <w:autoSpaceDN/>
              <w:ind w:firstLine="0" w:firstLineChars="0"/>
              <w:jc w:val="center"/>
              <w:rPr>
                <w:rFonts w:ascii="Times New Roman" w:hAnsi="Times New Roman" w:eastAsia="宋体"/>
                <w:kern w:val="4"/>
                <w:sz w:val="20"/>
                <w:szCs w:val="20"/>
              </w:rPr>
            </w:pPr>
          </w:p>
        </w:tc>
        <w:tc>
          <w:tcPr>
            <w:tcW w:w="1331" w:type="dxa"/>
            <w:noWrap/>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noWrap/>
            <w:vAlign w:val="center"/>
          </w:tcPr>
          <w:p>
            <w:pPr>
              <w:widowControl/>
              <w:autoSpaceDE/>
              <w:autoSpaceDN/>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四</w:t>
            </w:r>
          </w:p>
        </w:tc>
        <w:tc>
          <w:tcPr>
            <w:tcW w:w="2231" w:type="dxa"/>
            <w:noWrap/>
            <w:vAlign w:val="center"/>
          </w:tcPr>
          <w:p>
            <w:pPr>
              <w:widowControl/>
              <w:autoSpaceDE/>
              <w:autoSpaceDN/>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通用航空</w:t>
            </w:r>
          </w:p>
        </w:tc>
        <w:tc>
          <w:tcPr>
            <w:tcW w:w="1051" w:type="dxa"/>
            <w:noWrap/>
            <w:vAlign w:val="center"/>
          </w:tcPr>
          <w:p>
            <w:pPr>
              <w:widowControl/>
              <w:autoSpaceDE/>
              <w:autoSpaceDN/>
              <w:ind w:firstLine="0" w:firstLineChars="0"/>
              <w:jc w:val="center"/>
              <w:rPr>
                <w:rFonts w:ascii="Times New Roman" w:hAnsi="Times New Roman" w:eastAsia="楷体"/>
                <w:b/>
                <w:kern w:val="4"/>
                <w:sz w:val="21"/>
                <w:szCs w:val="21"/>
              </w:rPr>
            </w:pPr>
          </w:p>
        </w:tc>
        <w:tc>
          <w:tcPr>
            <w:tcW w:w="3213" w:type="dxa"/>
            <w:gridSpan w:val="2"/>
            <w:noWrap/>
            <w:vAlign w:val="center"/>
          </w:tcPr>
          <w:p>
            <w:pPr>
              <w:widowControl/>
              <w:autoSpaceDE/>
              <w:autoSpaceDN/>
              <w:ind w:firstLine="0" w:firstLineChars="0"/>
              <w:jc w:val="center"/>
              <w:rPr>
                <w:rFonts w:ascii="Times New Roman" w:hAnsi="Times New Roman" w:eastAsia="楷体"/>
                <w:b/>
                <w:kern w:val="4"/>
                <w:sz w:val="21"/>
                <w:szCs w:val="21"/>
              </w:rPr>
            </w:pPr>
          </w:p>
        </w:tc>
        <w:tc>
          <w:tcPr>
            <w:tcW w:w="1542" w:type="dxa"/>
            <w:vAlign w:val="center"/>
          </w:tcPr>
          <w:p>
            <w:pPr>
              <w:widowControl/>
              <w:autoSpaceDE/>
              <w:autoSpaceDN/>
              <w:ind w:firstLine="0" w:firstLineChars="0"/>
              <w:jc w:val="center"/>
              <w:rPr>
                <w:rFonts w:ascii="Times New Roman" w:hAnsi="Times New Roman" w:eastAsia="楷体"/>
                <w:b/>
                <w:kern w:val="4"/>
                <w:sz w:val="21"/>
                <w:szCs w:val="21"/>
              </w:rPr>
            </w:pPr>
          </w:p>
        </w:tc>
        <w:tc>
          <w:tcPr>
            <w:tcW w:w="1808" w:type="dxa"/>
            <w:noWrap/>
            <w:vAlign w:val="center"/>
          </w:tcPr>
          <w:p>
            <w:pPr>
              <w:widowControl/>
              <w:autoSpaceDE/>
              <w:autoSpaceDN/>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15,000</w:t>
            </w:r>
          </w:p>
        </w:tc>
        <w:tc>
          <w:tcPr>
            <w:tcW w:w="1518" w:type="dxa"/>
            <w:noWrap/>
            <w:vAlign w:val="center"/>
          </w:tcPr>
          <w:p>
            <w:pPr>
              <w:widowControl/>
              <w:autoSpaceDE/>
              <w:autoSpaceDN/>
              <w:ind w:firstLine="0" w:firstLineChars="0"/>
              <w:jc w:val="center"/>
              <w:rPr>
                <w:rFonts w:ascii="Times New Roman" w:hAnsi="Times New Roman" w:eastAsia="楷体"/>
                <w:b/>
                <w:kern w:val="4"/>
                <w:sz w:val="21"/>
                <w:szCs w:val="21"/>
              </w:rPr>
            </w:pPr>
          </w:p>
        </w:tc>
        <w:tc>
          <w:tcPr>
            <w:tcW w:w="1819" w:type="dxa"/>
            <w:noWrap/>
            <w:vAlign w:val="center"/>
          </w:tcPr>
          <w:p>
            <w:pPr>
              <w:widowControl/>
              <w:autoSpaceDE/>
              <w:autoSpaceDN/>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15,000</w:t>
            </w:r>
          </w:p>
        </w:tc>
        <w:tc>
          <w:tcPr>
            <w:tcW w:w="1518" w:type="dxa"/>
            <w:noWrap/>
            <w:vAlign w:val="center"/>
          </w:tcPr>
          <w:p>
            <w:pPr>
              <w:widowControl/>
              <w:autoSpaceDE/>
              <w:autoSpaceDN/>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5,000</w:t>
            </w:r>
          </w:p>
        </w:tc>
        <w:tc>
          <w:tcPr>
            <w:tcW w:w="1819" w:type="dxa"/>
            <w:noWrap/>
            <w:vAlign w:val="center"/>
          </w:tcPr>
          <w:p>
            <w:pPr>
              <w:widowControl/>
              <w:autoSpaceDE/>
              <w:autoSpaceDN/>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10,000</w:t>
            </w:r>
          </w:p>
        </w:tc>
        <w:tc>
          <w:tcPr>
            <w:tcW w:w="1518" w:type="dxa"/>
            <w:noWrap/>
            <w:vAlign w:val="center"/>
          </w:tcPr>
          <w:p>
            <w:pPr>
              <w:widowControl/>
              <w:autoSpaceDE/>
              <w:autoSpaceDN/>
              <w:ind w:firstLine="0" w:firstLineChars="0"/>
              <w:jc w:val="center"/>
              <w:rPr>
                <w:rFonts w:ascii="Times New Roman" w:hAnsi="Times New Roman" w:eastAsia="楷体"/>
                <w:b/>
                <w:kern w:val="4"/>
                <w:sz w:val="21"/>
                <w:szCs w:val="21"/>
              </w:rPr>
            </w:pPr>
          </w:p>
        </w:tc>
        <w:tc>
          <w:tcPr>
            <w:tcW w:w="1130" w:type="dxa"/>
            <w:noWrap/>
            <w:vAlign w:val="center"/>
          </w:tcPr>
          <w:p>
            <w:pPr>
              <w:widowControl/>
              <w:autoSpaceDE/>
              <w:autoSpaceDN/>
              <w:ind w:firstLine="0" w:firstLineChars="0"/>
              <w:jc w:val="center"/>
              <w:rPr>
                <w:rFonts w:ascii="Times New Roman" w:hAnsi="Times New Roman" w:eastAsia="宋体"/>
                <w:b/>
                <w:kern w:val="4"/>
                <w:sz w:val="20"/>
                <w:szCs w:val="20"/>
              </w:rPr>
            </w:pPr>
            <w:r>
              <w:rPr>
                <w:rFonts w:ascii="Times New Roman" w:hAnsi="Times New Roman" w:eastAsia="宋体"/>
                <w:b/>
                <w:kern w:val="4"/>
                <w:sz w:val="20"/>
                <w:szCs w:val="20"/>
              </w:rPr>
              <w:t>300</w:t>
            </w:r>
          </w:p>
        </w:tc>
        <w:tc>
          <w:tcPr>
            <w:tcW w:w="1331" w:type="dxa"/>
            <w:noWrap/>
            <w:vAlign w:val="center"/>
          </w:tcPr>
          <w:p>
            <w:pPr>
              <w:widowControl/>
              <w:autoSpaceDE/>
              <w:autoSpaceDN/>
              <w:ind w:firstLine="0" w:firstLineChars="0"/>
              <w:jc w:val="center"/>
              <w:rPr>
                <w:rFonts w:ascii="Times New Roman" w:hAnsi="Times New Roman" w:eastAsia="楷体"/>
                <w:b/>
                <w:kern w:val="4"/>
                <w:sz w:val="21"/>
                <w:szCs w:val="21"/>
              </w:rPr>
            </w:pP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16</w:t>
            </w:r>
          </w:p>
        </w:tc>
        <w:tc>
          <w:tcPr>
            <w:tcW w:w="2231"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溧水通用机场</w:t>
            </w:r>
          </w:p>
        </w:tc>
        <w:tc>
          <w:tcPr>
            <w:tcW w:w="1051" w:type="dxa"/>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力争</w:t>
            </w:r>
            <w:r>
              <w:rPr>
                <w:rFonts w:ascii="Times New Roman" w:hAnsi="Times New Roman" w:eastAsia="楷体"/>
                <w:kern w:val="4"/>
                <w:sz w:val="21"/>
                <w:szCs w:val="21"/>
              </w:rPr>
              <w:t>新建</w:t>
            </w:r>
          </w:p>
        </w:tc>
        <w:tc>
          <w:tcPr>
            <w:tcW w:w="3213" w:type="dxa"/>
            <w:gridSpan w:val="2"/>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占地300亩，适应1类及以下直升机及部分固定翼</w:t>
            </w:r>
          </w:p>
        </w:tc>
        <w:tc>
          <w:tcPr>
            <w:tcW w:w="1542"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w:t>
            </w:r>
            <w:r>
              <w:rPr>
                <w:rFonts w:hint="eastAsia" w:ascii="Times New Roman" w:hAnsi="Times New Roman" w:eastAsia="楷体"/>
                <w:kern w:val="4"/>
                <w:sz w:val="21"/>
                <w:szCs w:val="21"/>
              </w:rPr>
              <w:t>7</w:t>
            </w:r>
            <w:r>
              <w:rPr>
                <w:rFonts w:ascii="Times New Roman" w:hAnsi="Times New Roman" w:eastAsia="楷体"/>
                <w:kern w:val="4"/>
                <w:sz w:val="21"/>
                <w:szCs w:val="21"/>
              </w:rPr>
              <w:t>-2020</w:t>
            </w:r>
          </w:p>
        </w:tc>
        <w:tc>
          <w:tcPr>
            <w:tcW w:w="1808"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15,000</w:t>
            </w:r>
          </w:p>
        </w:tc>
        <w:tc>
          <w:tcPr>
            <w:tcW w:w="1518" w:type="dxa"/>
            <w:noWrap/>
            <w:vAlign w:val="center"/>
          </w:tcPr>
          <w:p>
            <w:pPr>
              <w:widowControl/>
              <w:autoSpaceDE/>
              <w:autoSpaceDN/>
              <w:ind w:firstLine="0" w:firstLineChars="0"/>
              <w:jc w:val="center"/>
              <w:rPr>
                <w:rFonts w:ascii="Times New Roman" w:hAnsi="Times New Roman" w:eastAsia="楷体"/>
                <w:kern w:val="4"/>
                <w:sz w:val="21"/>
                <w:szCs w:val="21"/>
              </w:rPr>
            </w:pPr>
          </w:p>
        </w:tc>
        <w:tc>
          <w:tcPr>
            <w:tcW w:w="1819"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15,000</w:t>
            </w:r>
          </w:p>
        </w:tc>
        <w:tc>
          <w:tcPr>
            <w:tcW w:w="1518"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5,000</w:t>
            </w:r>
          </w:p>
        </w:tc>
        <w:tc>
          <w:tcPr>
            <w:tcW w:w="1819"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10,000</w:t>
            </w:r>
          </w:p>
        </w:tc>
        <w:tc>
          <w:tcPr>
            <w:tcW w:w="1518" w:type="dxa"/>
            <w:noWrap/>
            <w:vAlign w:val="center"/>
          </w:tcPr>
          <w:p>
            <w:pPr>
              <w:widowControl/>
              <w:autoSpaceDE/>
              <w:autoSpaceDN/>
              <w:ind w:firstLine="0" w:firstLineChars="0"/>
              <w:jc w:val="center"/>
              <w:rPr>
                <w:rFonts w:ascii="Times New Roman" w:hAnsi="Times New Roman" w:eastAsia="楷体"/>
                <w:kern w:val="4"/>
                <w:sz w:val="21"/>
                <w:szCs w:val="21"/>
              </w:rPr>
            </w:pPr>
          </w:p>
        </w:tc>
        <w:tc>
          <w:tcPr>
            <w:tcW w:w="1130" w:type="dxa"/>
            <w:noWrap/>
            <w:vAlign w:val="center"/>
          </w:tcPr>
          <w:p>
            <w:pPr>
              <w:widowControl/>
              <w:autoSpaceDE/>
              <w:autoSpaceDN/>
              <w:ind w:firstLine="0" w:firstLineChars="0"/>
              <w:jc w:val="center"/>
              <w:rPr>
                <w:rFonts w:ascii="Times New Roman" w:hAnsi="Times New Roman" w:eastAsia="宋体"/>
                <w:kern w:val="4"/>
                <w:sz w:val="20"/>
                <w:szCs w:val="20"/>
              </w:rPr>
            </w:pPr>
            <w:r>
              <w:rPr>
                <w:rFonts w:ascii="Times New Roman" w:hAnsi="Times New Roman" w:eastAsia="宋体"/>
                <w:kern w:val="4"/>
                <w:sz w:val="20"/>
                <w:szCs w:val="20"/>
              </w:rPr>
              <w:t>300</w:t>
            </w:r>
          </w:p>
        </w:tc>
        <w:tc>
          <w:tcPr>
            <w:tcW w:w="1331" w:type="dxa"/>
            <w:noWrap/>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五</w:t>
            </w:r>
          </w:p>
        </w:tc>
        <w:tc>
          <w:tcPr>
            <w:tcW w:w="2231" w:type="dxa"/>
            <w:noWrap/>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场站项目</w:t>
            </w:r>
          </w:p>
        </w:tc>
        <w:tc>
          <w:tcPr>
            <w:tcW w:w="1051" w:type="dxa"/>
            <w:vAlign w:val="center"/>
          </w:tcPr>
          <w:p>
            <w:pPr>
              <w:widowControl/>
              <w:autoSpaceDE/>
              <w:autoSpaceDN/>
              <w:ind w:firstLine="0" w:firstLineChars="0"/>
              <w:jc w:val="center"/>
              <w:rPr>
                <w:rFonts w:ascii="Times New Roman" w:hAnsi="Times New Roman" w:eastAsia="楷体"/>
                <w:kern w:val="4"/>
                <w:sz w:val="21"/>
                <w:szCs w:val="21"/>
              </w:rPr>
            </w:pPr>
          </w:p>
        </w:tc>
        <w:tc>
          <w:tcPr>
            <w:tcW w:w="3213" w:type="dxa"/>
            <w:gridSpan w:val="2"/>
            <w:vAlign w:val="center"/>
          </w:tcPr>
          <w:p>
            <w:pPr>
              <w:widowControl/>
              <w:autoSpaceDE/>
              <w:autoSpaceDN/>
              <w:ind w:firstLine="0" w:firstLineChars="0"/>
              <w:jc w:val="center"/>
              <w:rPr>
                <w:rFonts w:ascii="Times New Roman" w:hAnsi="Times New Roman" w:eastAsia="楷体"/>
                <w:kern w:val="4"/>
                <w:sz w:val="21"/>
                <w:szCs w:val="21"/>
              </w:rPr>
            </w:pPr>
          </w:p>
        </w:tc>
        <w:tc>
          <w:tcPr>
            <w:tcW w:w="1542" w:type="dxa"/>
            <w:vAlign w:val="center"/>
          </w:tcPr>
          <w:p>
            <w:pPr>
              <w:widowControl/>
              <w:autoSpaceDE/>
              <w:autoSpaceDN/>
              <w:ind w:firstLine="0" w:firstLineChars="0"/>
              <w:jc w:val="center"/>
              <w:rPr>
                <w:rFonts w:ascii="Times New Roman" w:hAnsi="Times New Roman" w:eastAsia="楷体"/>
                <w:kern w:val="4"/>
                <w:sz w:val="21"/>
                <w:szCs w:val="21"/>
              </w:rPr>
            </w:pPr>
          </w:p>
        </w:tc>
        <w:tc>
          <w:tcPr>
            <w:tcW w:w="1808" w:type="dxa"/>
            <w:vAlign w:val="center"/>
          </w:tcPr>
          <w:p>
            <w:pPr>
              <w:widowControl/>
              <w:autoSpaceDE/>
              <w:autoSpaceDN/>
              <w:ind w:firstLine="0" w:firstLineChars="0"/>
              <w:jc w:val="center"/>
              <w:rPr>
                <w:rFonts w:ascii="Times New Roman" w:hAnsi="Times New Roman" w:eastAsia="宋体"/>
                <w:b/>
                <w:bCs/>
                <w:color w:val="000000"/>
                <w:kern w:val="4"/>
                <w:sz w:val="21"/>
                <w:szCs w:val="21"/>
              </w:rPr>
            </w:pPr>
            <w:r>
              <w:rPr>
                <w:rFonts w:ascii="Times New Roman" w:hAnsi="Times New Roman"/>
                <w:b/>
                <w:bCs/>
                <w:color w:val="000000"/>
                <w:kern w:val="4"/>
                <w:sz w:val="21"/>
                <w:szCs w:val="21"/>
              </w:rPr>
              <w:t>307,000</w:t>
            </w:r>
          </w:p>
        </w:tc>
        <w:tc>
          <w:tcPr>
            <w:tcW w:w="1518" w:type="dxa"/>
            <w:vAlign w:val="center"/>
          </w:tcPr>
          <w:p>
            <w:pPr>
              <w:ind w:firstLine="0" w:firstLineChars="0"/>
              <w:jc w:val="center"/>
              <w:rPr>
                <w:rFonts w:ascii="Times New Roman" w:hAnsi="Times New Roman"/>
                <w:b/>
                <w:bCs/>
                <w:color w:val="000000"/>
                <w:kern w:val="4"/>
                <w:sz w:val="21"/>
                <w:szCs w:val="21"/>
              </w:rPr>
            </w:pPr>
            <w:r>
              <w:rPr>
                <w:rFonts w:ascii="Times New Roman" w:hAnsi="Times New Roman"/>
                <w:b/>
                <w:bCs/>
                <w:color w:val="000000"/>
                <w:kern w:val="4"/>
                <w:sz w:val="21"/>
                <w:szCs w:val="21"/>
              </w:rPr>
              <w:t>140,000</w:t>
            </w:r>
          </w:p>
        </w:tc>
        <w:tc>
          <w:tcPr>
            <w:tcW w:w="1819" w:type="dxa"/>
            <w:vAlign w:val="center"/>
          </w:tcPr>
          <w:p>
            <w:pPr>
              <w:ind w:firstLine="0" w:firstLineChars="0"/>
              <w:jc w:val="center"/>
              <w:rPr>
                <w:rFonts w:ascii="Times New Roman" w:hAnsi="Times New Roman"/>
                <w:b/>
                <w:bCs/>
                <w:color w:val="000000"/>
                <w:kern w:val="4"/>
                <w:sz w:val="21"/>
                <w:szCs w:val="21"/>
              </w:rPr>
            </w:pPr>
            <w:r>
              <w:rPr>
                <w:rFonts w:ascii="Times New Roman" w:hAnsi="Times New Roman"/>
                <w:b/>
                <w:bCs/>
                <w:color w:val="000000"/>
                <w:kern w:val="4"/>
                <w:sz w:val="21"/>
                <w:szCs w:val="21"/>
              </w:rPr>
              <w:t>167,000</w:t>
            </w:r>
          </w:p>
        </w:tc>
        <w:tc>
          <w:tcPr>
            <w:tcW w:w="1518" w:type="dxa"/>
            <w:vAlign w:val="center"/>
          </w:tcPr>
          <w:p>
            <w:pPr>
              <w:ind w:firstLine="0" w:firstLineChars="0"/>
              <w:jc w:val="center"/>
              <w:rPr>
                <w:rFonts w:ascii="Times New Roman" w:hAnsi="Times New Roman"/>
                <w:b/>
                <w:bCs/>
                <w:color w:val="000000"/>
                <w:kern w:val="4"/>
                <w:sz w:val="21"/>
                <w:szCs w:val="21"/>
              </w:rPr>
            </w:pPr>
            <w:r>
              <w:rPr>
                <w:rFonts w:ascii="Times New Roman" w:hAnsi="Times New Roman"/>
                <w:b/>
                <w:bCs/>
                <w:color w:val="000000"/>
                <w:kern w:val="4"/>
                <w:sz w:val="21"/>
                <w:szCs w:val="21"/>
              </w:rPr>
              <w:t>28,000</w:t>
            </w:r>
          </w:p>
        </w:tc>
        <w:tc>
          <w:tcPr>
            <w:tcW w:w="1819" w:type="dxa"/>
            <w:vAlign w:val="center"/>
          </w:tcPr>
          <w:p>
            <w:pPr>
              <w:ind w:firstLine="0" w:firstLineChars="0"/>
              <w:jc w:val="center"/>
              <w:rPr>
                <w:rFonts w:ascii="Times New Roman" w:hAnsi="Times New Roman"/>
                <w:b/>
                <w:bCs/>
                <w:color w:val="000000"/>
                <w:kern w:val="4"/>
                <w:sz w:val="21"/>
                <w:szCs w:val="21"/>
              </w:rPr>
            </w:pPr>
            <w:r>
              <w:rPr>
                <w:rFonts w:ascii="Times New Roman" w:hAnsi="Times New Roman"/>
                <w:b/>
                <w:bCs/>
                <w:color w:val="000000"/>
                <w:kern w:val="4"/>
                <w:sz w:val="21"/>
                <w:szCs w:val="21"/>
              </w:rPr>
              <w:t>74,000</w:t>
            </w:r>
          </w:p>
        </w:tc>
        <w:tc>
          <w:tcPr>
            <w:tcW w:w="1518" w:type="dxa"/>
            <w:vAlign w:val="center"/>
          </w:tcPr>
          <w:p>
            <w:pPr>
              <w:ind w:firstLine="0" w:firstLineChars="0"/>
              <w:jc w:val="center"/>
              <w:rPr>
                <w:rFonts w:ascii="Times New Roman" w:hAnsi="Times New Roman"/>
                <w:b/>
                <w:bCs/>
                <w:color w:val="000000"/>
                <w:kern w:val="4"/>
                <w:sz w:val="21"/>
                <w:szCs w:val="21"/>
              </w:rPr>
            </w:pPr>
            <w:r>
              <w:rPr>
                <w:rFonts w:ascii="Times New Roman" w:hAnsi="Times New Roman"/>
                <w:b/>
                <w:bCs/>
                <w:color w:val="000000"/>
                <w:kern w:val="4"/>
                <w:sz w:val="21"/>
                <w:szCs w:val="21"/>
              </w:rPr>
              <w:t>65,000</w:t>
            </w:r>
          </w:p>
        </w:tc>
        <w:tc>
          <w:tcPr>
            <w:tcW w:w="1130" w:type="dxa"/>
            <w:vAlign w:val="center"/>
          </w:tcPr>
          <w:p>
            <w:pPr>
              <w:ind w:firstLine="0" w:firstLineChars="0"/>
              <w:jc w:val="center"/>
              <w:rPr>
                <w:rFonts w:ascii="Times New Roman" w:hAnsi="Times New Roman"/>
                <w:b/>
                <w:bCs/>
                <w:color w:val="000000"/>
                <w:kern w:val="4"/>
                <w:sz w:val="21"/>
                <w:szCs w:val="21"/>
              </w:rPr>
            </w:pPr>
            <w:r>
              <w:rPr>
                <w:rFonts w:ascii="Times New Roman" w:hAnsi="Times New Roman"/>
                <w:b/>
                <w:bCs/>
                <w:color w:val="000000"/>
                <w:kern w:val="4"/>
                <w:sz w:val="21"/>
                <w:szCs w:val="21"/>
              </w:rPr>
              <w:t>334</w:t>
            </w:r>
          </w:p>
        </w:tc>
        <w:tc>
          <w:tcPr>
            <w:tcW w:w="1331" w:type="dxa"/>
            <w:noWrap/>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（一）</w:t>
            </w:r>
          </w:p>
        </w:tc>
        <w:tc>
          <w:tcPr>
            <w:tcW w:w="2231" w:type="dxa"/>
            <w:noWrap/>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客运场站</w:t>
            </w:r>
          </w:p>
        </w:tc>
        <w:tc>
          <w:tcPr>
            <w:tcW w:w="1051" w:type="dxa"/>
            <w:vAlign w:val="center"/>
          </w:tcPr>
          <w:p>
            <w:pPr>
              <w:widowControl/>
              <w:autoSpaceDE/>
              <w:autoSpaceDN/>
              <w:ind w:firstLine="0" w:firstLineChars="0"/>
              <w:jc w:val="center"/>
              <w:rPr>
                <w:rFonts w:ascii="Times New Roman" w:hAnsi="Times New Roman" w:eastAsia="楷体"/>
                <w:b/>
                <w:kern w:val="4"/>
                <w:sz w:val="21"/>
                <w:szCs w:val="21"/>
              </w:rPr>
            </w:pPr>
          </w:p>
        </w:tc>
        <w:tc>
          <w:tcPr>
            <w:tcW w:w="3213" w:type="dxa"/>
            <w:gridSpan w:val="2"/>
            <w:vAlign w:val="center"/>
          </w:tcPr>
          <w:p>
            <w:pPr>
              <w:widowControl/>
              <w:autoSpaceDE/>
              <w:autoSpaceDN/>
              <w:ind w:firstLine="0" w:firstLineChars="0"/>
              <w:jc w:val="center"/>
              <w:rPr>
                <w:rFonts w:ascii="Times New Roman" w:hAnsi="Times New Roman" w:eastAsia="楷体"/>
                <w:b/>
                <w:kern w:val="4"/>
                <w:sz w:val="21"/>
                <w:szCs w:val="21"/>
              </w:rPr>
            </w:pPr>
          </w:p>
        </w:tc>
        <w:tc>
          <w:tcPr>
            <w:tcW w:w="1542" w:type="dxa"/>
            <w:vAlign w:val="center"/>
          </w:tcPr>
          <w:p>
            <w:pPr>
              <w:widowControl/>
              <w:autoSpaceDE/>
              <w:autoSpaceDN/>
              <w:ind w:firstLine="0" w:firstLineChars="0"/>
              <w:jc w:val="center"/>
              <w:rPr>
                <w:rFonts w:ascii="Times New Roman" w:hAnsi="Times New Roman" w:eastAsia="楷体"/>
                <w:b/>
                <w:kern w:val="4"/>
                <w:sz w:val="21"/>
                <w:szCs w:val="21"/>
              </w:rPr>
            </w:pPr>
          </w:p>
        </w:tc>
        <w:tc>
          <w:tcPr>
            <w:tcW w:w="1808" w:type="dxa"/>
            <w:vAlign w:val="center"/>
          </w:tcPr>
          <w:p>
            <w:pPr>
              <w:widowControl/>
              <w:autoSpaceDE/>
              <w:autoSpaceDN/>
              <w:ind w:firstLine="0" w:firstLineChars="0"/>
              <w:jc w:val="center"/>
              <w:rPr>
                <w:rFonts w:ascii="Times New Roman" w:hAnsi="Times New Roman" w:eastAsia="宋体"/>
                <w:b/>
                <w:color w:val="000000"/>
                <w:kern w:val="4"/>
                <w:sz w:val="21"/>
                <w:szCs w:val="21"/>
              </w:rPr>
            </w:pPr>
            <w:r>
              <w:rPr>
                <w:rFonts w:ascii="Times New Roman" w:hAnsi="Times New Roman"/>
                <w:b/>
                <w:color w:val="000000"/>
                <w:kern w:val="4"/>
                <w:sz w:val="21"/>
                <w:szCs w:val="21"/>
              </w:rPr>
              <w:t>37,000</w:t>
            </w:r>
          </w:p>
        </w:tc>
        <w:tc>
          <w:tcPr>
            <w:tcW w:w="1518" w:type="dxa"/>
            <w:vAlign w:val="center"/>
          </w:tcPr>
          <w:p>
            <w:pPr>
              <w:ind w:firstLine="0" w:firstLineChars="0"/>
              <w:jc w:val="center"/>
              <w:rPr>
                <w:rFonts w:ascii="Times New Roman" w:hAnsi="Times New Roman"/>
                <w:b/>
                <w:color w:val="000000"/>
                <w:kern w:val="4"/>
                <w:sz w:val="21"/>
                <w:szCs w:val="21"/>
              </w:rPr>
            </w:pPr>
          </w:p>
        </w:tc>
        <w:tc>
          <w:tcPr>
            <w:tcW w:w="1819" w:type="dxa"/>
            <w:vAlign w:val="center"/>
          </w:tcPr>
          <w:p>
            <w:pPr>
              <w:ind w:firstLine="0" w:firstLineChars="0"/>
              <w:jc w:val="center"/>
              <w:rPr>
                <w:rFonts w:ascii="Times New Roman" w:hAnsi="Times New Roman"/>
                <w:b/>
                <w:color w:val="000000"/>
                <w:kern w:val="4"/>
                <w:sz w:val="21"/>
                <w:szCs w:val="21"/>
              </w:rPr>
            </w:pPr>
            <w:r>
              <w:rPr>
                <w:rFonts w:ascii="Times New Roman" w:hAnsi="Times New Roman"/>
                <w:b/>
                <w:color w:val="000000"/>
                <w:kern w:val="4"/>
                <w:sz w:val="21"/>
                <w:szCs w:val="21"/>
              </w:rPr>
              <w:t>37,000</w:t>
            </w:r>
          </w:p>
        </w:tc>
        <w:tc>
          <w:tcPr>
            <w:tcW w:w="1518" w:type="dxa"/>
            <w:vAlign w:val="center"/>
          </w:tcPr>
          <w:p>
            <w:pPr>
              <w:ind w:firstLine="0" w:firstLineChars="0"/>
              <w:jc w:val="center"/>
              <w:rPr>
                <w:rFonts w:ascii="Times New Roman" w:hAnsi="Times New Roman"/>
                <w:b/>
                <w:color w:val="000000"/>
                <w:kern w:val="4"/>
                <w:sz w:val="21"/>
                <w:szCs w:val="21"/>
              </w:rPr>
            </w:pPr>
            <w:r>
              <w:rPr>
                <w:rFonts w:ascii="Times New Roman" w:hAnsi="Times New Roman"/>
                <w:b/>
                <w:color w:val="000000"/>
                <w:kern w:val="4"/>
                <w:sz w:val="21"/>
                <w:szCs w:val="21"/>
              </w:rPr>
              <w:t>2,000</w:t>
            </w:r>
          </w:p>
        </w:tc>
        <w:tc>
          <w:tcPr>
            <w:tcW w:w="1819" w:type="dxa"/>
            <w:vAlign w:val="center"/>
          </w:tcPr>
          <w:p>
            <w:pPr>
              <w:ind w:firstLine="0" w:firstLineChars="0"/>
              <w:jc w:val="center"/>
              <w:rPr>
                <w:rFonts w:ascii="Times New Roman" w:hAnsi="Times New Roman"/>
                <w:b/>
                <w:color w:val="000000"/>
                <w:kern w:val="4"/>
                <w:sz w:val="21"/>
                <w:szCs w:val="21"/>
              </w:rPr>
            </w:pPr>
            <w:r>
              <w:rPr>
                <w:rFonts w:ascii="Times New Roman" w:hAnsi="Times New Roman"/>
                <w:b/>
                <w:color w:val="000000"/>
                <w:kern w:val="4"/>
                <w:sz w:val="21"/>
                <w:szCs w:val="21"/>
              </w:rPr>
              <w:t>35,000</w:t>
            </w:r>
          </w:p>
        </w:tc>
        <w:tc>
          <w:tcPr>
            <w:tcW w:w="1518" w:type="dxa"/>
            <w:vAlign w:val="center"/>
          </w:tcPr>
          <w:p>
            <w:pPr>
              <w:ind w:firstLine="0" w:firstLineChars="0"/>
              <w:jc w:val="center"/>
              <w:rPr>
                <w:rFonts w:ascii="Times New Roman" w:hAnsi="Times New Roman"/>
                <w:b/>
                <w:color w:val="000000"/>
                <w:kern w:val="4"/>
                <w:sz w:val="21"/>
                <w:szCs w:val="21"/>
              </w:rPr>
            </w:pPr>
          </w:p>
        </w:tc>
        <w:tc>
          <w:tcPr>
            <w:tcW w:w="1130" w:type="dxa"/>
            <w:vAlign w:val="center"/>
          </w:tcPr>
          <w:p>
            <w:pPr>
              <w:ind w:firstLine="0" w:firstLineChars="0"/>
              <w:jc w:val="center"/>
              <w:rPr>
                <w:rFonts w:ascii="Times New Roman" w:hAnsi="Times New Roman"/>
                <w:b/>
                <w:color w:val="000000"/>
                <w:kern w:val="4"/>
                <w:sz w:val="21"/>
                <w:szCs w:val="21"/>
              </w:rPr>
            </w:pPr>
            <w:r>
              <w:rPr>
                <w:rFonts w:ascii="Times New Roman" w:hAnsi="Times New Roman"/>
                <w:b/>
                <w:color w:val="000000"/>
                <w:kern w:val="4"/>
                <w:sz w:val="21"/>
                <w:szCs w:val="21"/>
              </w:rPr>
              <w:t>334</w:t>
            </w:r>
          </w:p>
        </w:tc>
        <w:tc>
          <w:tcPr>
            <w:tcW w:w="1331" w:type="dxa"/>
            <w:noWrap/>
            <w:vAlign w:val="center"/>
          </w:tcPr>
          <w:p>
            <w:pPr>
              <w:widowControl/>
              <w:autoSpaceDE/>
              <w:autoSpaceDN/>
              <w:ind w:firstLine="0" w:firstLineChars="0"/>
              <w:jc w:val="center"/>
              <w:rPr>
                <w:rFonts w:ascii="Times New Roman" w:hAnsi="Times New Roman" w:eastAsia="楷体"/>
                <w:kern w:val="4"/>
                <w:sz w:val="21"/>
                <w:szCs w:val="21"/>
              </w:rPr>
            </w:pP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17</w:t>
            </w:r>
          </w:p>
        </w:tc>
        <w:tc>
          <w:tcPr>
            <w:tcW w:w="2231" w:type="dxa"/>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溧水</w:t>
            </w:r>
            <w:r>
              <w:rPr>
                <w:rFonts w:ascii="Times New Roman" w:hAnsi="Times New Roman" w:eastAsia="楷体"/>
                <w:kern w:val="4"/>
                <w:sz w:val="21"/>
                <w:szCs w:val="21"/>
              </w:rPr>
              <w:t>综合客运枢纽</w:t>
            </w:r>
          </w:p>
        </w:tc>
        <w:tc>
          <w:tcPr>
            <w:tcW w:w="1051" w:type="dxa"/>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力争开工</w:t>
            </w:r>
          </w:p>
        </w:tc>
        <w:tc>
          <w:tcPr>
            <w:tcW w:w="3213" w:type="dxa"/>
            <w:gridSpan w:val="2"/>
            <w:noWrap/>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铁路</w:t>
            </w:r>
            <w:r>
              <w:rPr>
                <w:rFonts w:ascii="Times New Roman" w:hAnsi="Times New Roman" w:eastAsia="楷体"/>
                <w:kern w:val="4"/>
                <w:sz w:val="21"/>
                <w:szCs w:val="21"/>
              </w:rPr>
              <w:t>综合客运枢纽</w:t>
            </w:r>
          </w:p>
        </w:tc>
        <w:tc>
          <w:tcPr>
            <w:tcW w:w="1542" w:type="dxa"/>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2018-2020</w:t>
            </w:r>
          </w:p>
        </w:tc>
        <w:tc>
          <w:tcPr>
            <w:tcW w:w="1808" w:type="dxa"/>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1</w:t>
            </w:r>
            <w:r>
              <w:rPr>
                <w:rFonts w:hint="eastAsia" w:ascii="Times New Roman" w:hAnsi="Times New Roman"/>
                <w:kern w:val="4"/>
                <w:sz w:val="21"/>
                <w:szCs w:val="21"/>
              </w:rPr>
              <w:t>0</w:t>
            </w:r>
            <w:r>
              <w:rPr>
                <w:rFonts w:ascii="Times New Roman" w:hAnsi="Times New Roman"/>
                <w:kern w:val="4"/>
                <w:sz w:val="21"/>
                <w:szCs w:val="21"/>
              </w:rPr>
              <w:t>,000</w:t>
            </w: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p>
        </w:tc>
        <w:tc>
          <w:tcPr>
            <w:tcW w:w="1819" w:type="dxa"/>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1</w:t>
            </w:r>
            <w:r>
              <w:rPr>
                <w:rFonts w:hint="eastAsia" w:ascii="Times New Roman" w:hAnsi="Times New Roman"/>
                <w:kern w:val="4"/>
                <w:sz w:val="21"/>
                <w:szCs w:val="21"/>
              </w:rPr>
              <w:t>0</w:t>
            </w:r>
            <w:r>
              <w:rPr>
                <w:rFonts w:ascii="Times New Roman" w:hAnsi="Times New Roman"/>
                <w:kern w:val="4"/>
                <w:sz w:val="21"/>
                <w:szCs w:val="21"/>
              </w:rPr>
              <w:t>,000</w:t>
            </w: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2</w:t>
            </w:r>
            <w:r>
              <w:rPr>
                <w:rFonts w:ascii="Times New Roman" w:hAnsi="Times New Roman"/>
                <w:kern w:val="4"/>
                <w:sz w:val="21"/>
                <w:szCs w:val="21"/>
              </w:rPr>
              <w:t>,000</w:t>
            </w:r>
          </w:p>
        </w:tc>
        <w:tc>
          <w:tcPr>
            <w:tcW w:w="1819" w:type="dxa"/>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8</w:t>
            </w:r>
            <w:r>
              <w:rPr>
                <w:rFonts w:ascii="Times New Roman" w:hAnsi="Times New Roman"/>
                <w:kern w:val="4"/>
                <w:sz w:val="21"/>
                <w:szCs w:val="21"/>
              </w:rPr>
              <w:t>,000</w:t>
            </w: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p>
        </w:tc>
        <w:tc>
          <w:tcPr>
            <w:tcW w:w="1130" w:type="dxa"/>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100</w:t>
            </w:r>
          </w:p>
        </w:tc>
        <w:tc>
          <w:tcPr>
            <w:tcW w:w="1331" w:type="dxa"/>
            <w:noWrap/>
            <w:vAlign w:val="center"/>
          </w:tcPr>
          <w:p>
            <w:pPr>
              <w:widowControl/>
              <w:autoSpaceDE/>
              <w:autoSpaceDN/>
              <w:ind w:firstLine="0" w:firstLineChars="0"/>
              <w:jc w:val="center"/>
              <w:rPr>
                <w:rFonts w:ascii="Times New Roman" w:hAnsi="Times New Roman" w:eastAsia="华文仿宋"/>
                <w:kern w:val="4"/>
                <w:sz w:val="21"/>
                <w:szCs w:val="21"/>
              </w:rPr>
            </w:pP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18</w:t>
            </w:r>
          </w:p>
        </w:tc>
        <w:tc>
          <w:tcPr>
            <w:tcW w:w="2231"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公交停保养场</w:t>
            </w:r>
          </w:p>
        </w:tc>
        <w:tc>
          <w:tcPr>
            <w:tcW w:w="105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新建</w:t>
            </w:r>
          </w:p>
        </w:tc>
        <w:tc>
          <w:tcPr>
            <w:tcW w:w="3213" w:type="dxa"/>
            <w:gridSpan w:val="2"/>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1座，包含公交停车场、修理厂、加油站、检测站、办公设施用房</w:t>
            </w:r>
          </w:p>
        </w:tc>
        <w:tc>
          <w:tcPr>
            <w:tcW w:w="1542"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2016-2017</w:t>
            </w:r>
          </w:p>
        </w:tc>
        <w:tc>
          <w:tcPr>
            <w:tcW w:w="1808"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15,000</w:t>
            </w: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p>
        </w:tc>
        <w:tc>
          <w:tcPr>
            <w:tcW w:w="181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15,000</w:t>
            </w: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p>
        </w:tc>
        <w:tc>
          <w:tcPr>
            <w:tcW w:w="181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15,000</w:t>
            </w: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p>
        </w:tc>
        <w:tc>
          <w:tcPr>
            <w:tcW w:w="1130"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150</w:t>
            </w:r>
          </w:p>
        </w:tc>
        <w:tc>
          <w:tcPr>
            <w:tcW w:w="1331" w:type="dxa"/>
            <w:noWrap/>
            <w:vAlign w:val="center"/>
          </w:tcPr>
          <w:p>
            <w:pPr>
              <w:widowControl/>
              <w:autoSpaceDE/>
              <w:autoSpaceDN/>
              <w:ind w:firstLine="0" w:firstLineChars="0"/>
              <w:jc w:val="center"/>
              <w:rPr>
                <w:rFonts w:ascii="Times New Roman" w:hAnsi="Times New Roman" w:eastAsia="华文仿宋"/>
                <w:kern w:val="4"/>
                <w:sz w:val="21"/>
                <w:szCs w:val="21"/>
              </w:rPr>
            </w:pP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19</w:t>
            </w:r>
          </w:p>
        </w:tc>
        <w:tc>
          <w:tcPr>
            <w:tcW w:w="2231"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公铁换乘枢纽</w:t>
            </w:r>
          </w:p>
        </w:tc>
        <w:tc>
          <w:tcPr>
            <w:tcW w:w="105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新建</w:t>
            </w:r>
          </w:p>
        </w:tc>
        <w:tc>
          <w:tcPr>
            <w:tcW w:w="3213" w:type="dxa"/>
            <w:gridSpan w:val="2"/>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柘塘站、无想山、溧水汽车客运站等3个公铁换乘枢纽</w:t>
            </w:r>
          </w:p>
        </w:tc>
        <w:tc>
          <w:tcPr>
            <w:tcW w:w="1542"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2016-2018</w:t>
            </w:r>
          </w:p>
        </w:tc>
        <w:tc>
          <w:tcPr>
            <w:tcW w:w="1808"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4,000</w:t>
            </w: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p>
        </w:tc>
        <w:tc>
          <w:tcPr>
            <w:tcW w:w="181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4,000</w:t>
            </w: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p>
        </w:tc>
        <w:tc>
          <w:tcPr>
            <w:tcW w:w="181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4,000</w:t>
            </w: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p>
        </w:tc>
        <w:tc>
          <w:tcPr>
            <w:tcW w:w="1130"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16</w:t>
            </w:r>
          </w:p>
        </w:tc>
        <w:tc>
          <w:tcPr>
            <w:tcW w:w="1331" w:type="dxa"/>
            <w:noWrap/>
            <w:vAlign w:val="center"/>
          </w:tcPr>
          <w:p>
            <w:pPr>
              <w:widowControl/>
              <w:autoSpaceDE/>
              <w:autoSpaceDN/>
              <w:ind w:firstLine="0" w:firstLineChars="0"/>
              <w:jc w:val="center"/>
              <w:rPr>
                <w:rFonts w:ascii="Times New Roman" w:hAnsi="Times New Roman" w:eastAsia="华文仿宋"/>
                <w:kern w:val="4"/>
                <w:sz w:val="21"/>
                <w:szCs w:val="21"/>
              </w:rPr>
            </w:pP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20</w:t>
            </w:r>
          </w:p>
        </w:tc>
        <w:tc>
          <w:tcPr>
            <w:tcW w:w="2231"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公交首末站</w:t>
            </w:r>
          </w:p>
        </w:tc>
        <w:tc>
          <w:tcPr>
            <w:tcW w:w="105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新建</w:t>
            </w:r>
          </w:p>
        </w:tc>
        <w:tc>
          <w:tcPr>
            <w:tcW w:w="3213" w:type="dxa"/>
            <w:gridSpan w:val="2"/>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开发区团山、红光东路、</w:t>
            </w:r>
            <w:r>
              <w:rPr>
                <w:rFonts w:hint="eastAsia" w:ascii="Times New Roman" w:hAnsi="Times New Roman" w:eastAsia="楷体"/>
                <w:kern w:val="4"/>
                <w:sz w:val="21"/>
                <w:szCs w:val="21"/>
              </w:rPr>
              <w:t>杭村</w:t>
            </w:r>
            <w:r>
              <w:rPr>
                <w:rFonts w:ascii="Times New Roman" w:hAnsi="Times New Roman" w:eastAsia="楷体"/>
                <w:kern w:val="4"/>
                <w:sz w:val="21"/>
                <w:szCs w:val="21"/>
              </w:rPr>
              <w:t>、钟灵南路、中兴西路、洪蓝（新站）等6个公交首末站</w:t>
            </w:r>
          </w:p>
        </w:tc>
        <w:tc>
          <w:tcPr>
            <w:tcW w:w="1542"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2016-2020</w:t>
            </w:r>
          </w:p>
        </w:tc>
        <w:tc>
          <w:tcPr>
            <w:tcW w:w="1808"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4,800</w:t>
            </w: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p>
        </w:tc>
        <w:tc>
          <w:tcPr>
            <w:tcW w:w="181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4,800</w:t>
            </w: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p>
        </w:tc>
        <w:tc>
          <w:tcPr>
            <w:tcW w:w="181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4,800</w:t>
            </w: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p>
        </w:tc>
        <w:tc>
          <w:tcPr>
            <w:tcW w:w="1130"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48</w:t>
            </w:r>
          </w:p>
        </w:tc>
        <w:tc>
          <w:tcPr>
            <w:tcW w:w="1331" w:type="dxa"/>
            <w:noWrap/>
            <w:vAlign w:val="center"/>
          </w:tcPr>
          <w:p>
            <w:pPr>
              <w:widowControl/>
              <w:autoSpaceDE/>
              <w:autoSpaceDN/>
              <w:ind w:firstLine="0" w:firstLineChars="0"/>
              <w:jc w:val="center"/>
              <w:rPr>
                <w:rFonts w:ascii="Times New Roman" w:hAnsi="Times New Roman" w:eastAsia="华文仿宋"/>
                <w:kern w:val="4"/>
                <w:sz w:val="21"/>
                <w:szCs w:val="21"/>
              </w:rPr>
            </w:pP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vAlign w:val="center"/>
          </w:tcPr>
          <w:p>
            <w:pPr>
              <w:widowControl/>
              <w:autoSpaceDE/>
              <w:autoSpaceDN/>
              <w:ind w:firstLine="0" w:firstLineChars="0"/>
              <w:jc w:val="center"/>
              <w:rPr>
                <w:rFonts w:ascii="Times New Roman" w:hAnsi="Times New Roman" w:eastAsia="楷体"/>
                <w:kern w:val="4"/>
                <w:sz w:val="21"/>
                <w:szCs w:val="21"/>
              </w:rPr>
            </w:pPr>
            <w:r>
              <w:rPr>
                <w:rFonts w:hint="eastAsia" w:ascii="Times New Roman" w:hAnsi="Times New Roman" w:eastAsia="楷体"/>
                <w:kern w:val="4"/>
                <w:sz w:val="21"/>
                <w:szCs w:val="21"/>
              </w:rPr>
              <w:t>21</w:t>
            </w:r>
          </w:p>
        </w:tc>
        <w:tc>
          <w:tcPr>
            <w:tcW w:w="2231"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农村客运站</w:t>
            </w:r>
          </w:p>
        </w:tc>
        <w:tc>
          <w:tcPr>
            <w:tcW w:w="105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新建</w:t>
            </w:r>
          </w:p>
        </w:tc>
        <w:tc>
          <w:tcPr>
            <w:tcW w:w="3213" w:type="dxa"/>
            <w:gridSpan w:val="2"/>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完成共和（白马）、和凤、塘窦村（石湫）</w:t>
            </w:r>
            <w:r>
              <w:rPr>
                <w:rFonts w:hint="eastAsia" w:ascii="Times New Roman" w:hAnsi="Times New Roman" w:eastAsia="楷体"/>
                <w:kern w:val="4"/>
                <w:sz w:val="21"/>
                <w:szCs w:val="21"/>
              </w:rPr>
              <w:t>、</w:t>
            </w:r>
            <w:r>
              <w:rPr>
                <w:rFonts w:ascii="Times New Roman" w:hAnsi="Times New Roman" w:eastAsia="楷体"/>
                <w:kern w:val="4"/>
                <w:sz w:val="21"/>
                <w:szCs w:val="21"/>
              </w:rPr>
              <w:t>东屏等4个客运站</w:t>
            </w:r>
          </w:p>
        </w:tc>
        <w:tc>
          <w:tcPr>
            <w:tcW w:w="1542"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2015-201</w:t>
            </w:r>
            <w:r>
              <w:rPr>
                <w:rFonts w:hint="eastAsia" w:ascii="Times New Roman" w:hAnsi="Times New Roman" w:eastAsia="楷体"/>
                <w:kern w:val="4"/>
                <w:sz w:val="21"/>
                <w:szCs w:val="21"/>
              </w:rPr>
              <w:t>7</w:t>
            </w:r>
          </w:p>
        </w:tc>
        <w:tc>
          <w:tcPr>
            <w:tcW w:w="1808"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3,200</w:t>
            </w: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p>
        </w:tc>
        <w:tc>
          <w:tcPr>
            <w:tcW w:w="181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3,200</w:t>
            </w: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p>
        </w:tc>
        <w:tc>
          <w:tcPr>
            <w:tcW w:w="1819"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3,200</w:t>
            </w: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p>
        </w:tc>
        <w:tc>
          <w:tcPr>
            <w:tcW w:w="1130"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w:t>
            </w:r>
          </w:p>
        </w:tc>
        <w:tc>
          <w:tcPr>
            <w:tcW w:w="1331" w:type="dxa"/>
            <w:noWrap/>
            <w:vAlign w:val="center"/>
          </w:tcPr>
          <w:p>
            <w:pPr>
              <w:widowControl/>
              <w:autoSpaceDE/>
              <w:autoSpaceDN/>
              <w:ind w:firstLine="0" w:firstLineChars="0"/>
              <w:jc w:val="center"/>
              <w:rPr>
                <w:rFonts w:ascii="Times New Roman" w:hAnsi="Times New Roman" w:eastAsia="楷体"/>
                <w:kern w:val="4"/>
                <w:sz w:val="21"/>
                <w:szCs w:val="21"/>
                <w:highlight w:val="yellow"/>
              </w:rPr>
            </w:pP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（二）</w:t>
            </w:r>
          </w:p>
        </w:tc>
        <w:tc>
          <w:tcPr>
            <w:tcW w:w="2231" w:type="dxa"/>
            <w:noWrap/>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物流基地</w:t>
            </w:r>
          </w:p>
        </w:tc>
        <w:tc>
          <w:tcPr>
            <w:tcW w:w="1051" w:type="dxa"/>
            <w:vAlign w:val="center"/>
          </w:tcPr>
          <w:p>
            <w:pPr>
              <w:widowControl/>
              <w:autoSpaceDE/>
              <w:autoSpaceDN/>
              <w:ind w:firstLine="0" w:firstLineChars="0"/>
              <w:jc w:val="center"/>
              <w:rPr>
                <w:rFonts w:ascii="Times New Roman" w:hAnsi="Times New Roman" w:eastAsia="楷体"/>
                <w:b/>
                <w:bCs/>
                <w:kern w:val="4"/>
                <w:sz w:val="21"/>
                <w:szCs w:val="21"/>
              </w:rPr>
            </w:pPr>
          </w:p>
        </w:tc>
        <w:tc>
          <w:tcPr>
            <w:tcW w:w="3213" w:type="dxa"/>
            <w:gridSpan w:val="2"/>
            <w:vAlign w:val="center"/>
          </w:tcPr>
          <w:p>
            <w:pPr>
              <w:widowControl/>
              <w:autoSpaceDE/>
              <w:autoSpaceDN/>
              <w:ind w:firstLine="0" w:firstLineChars="0"/>
              <w:jc w:val="center"/>
              <w:rPr>
                <w:rFonts w:ascii="Times New Roman" w:hAnsi="Times New Roman" w:eastAsia="楷体"/>
                <w:b/>
                <w:bCs/>
                <w:kern w:val="4"/>
                <w:sz w:val="21"/>
                <w:szCs w:val="21"/>
              </w:rPr>
            </w:pPr>
          </w:p>
        </w:tc>
        <w:tc>
          <w:tcPr>
            <w:tcW w:w="1542" w:type="dxa"/>
            <w:vAlign w:val="center"/>
          </w:tcPr>
          <w:p>
            <w:pPr>
              <w:widowControl/>
              <w:autoSpaceDE/>
              <w:autoSpaceDN/>
              <w:ind w:firstLine="0" w:firstLineChars="0"/>
              <w:jc w:val="center"/>
              <w:rPr>
                <w:rFonts w:ascii="Times New Roman" w:hAnsi="Times New Roman" w:eastAsia="楷体"/>
                <w:b/>
                <w:bCs/>
                <w:kern w:val="4"/>
                <w:sz w:val="21"/>
                <w:szCs w:val="21"/>
              </w:rPr>
            </w:pPr>
          </w:p>
        </w:tc>
        <w:tc>
          <w:tcPr>
            <w:tcW w:w="1808" w:type="dxa"/>
            <w:vAlign w:val="center"/>
          </w:tcPr>
          <w:p>
            <w:pPr>
              <w:widowControl/>
              <w:autoSpaceDE/>
              <w:autoSpaceDN/>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270,000</w:t>
            </w:r>
          </w:p>
        </w:tc>
        <w:tc>
          <w:tcPr>
            <w:tcW w:w="1518" w:type="dxa"/>
            <w:vAlign w:val="center"/>
          </w:tcPr>
          <w:p>
            <w:pPr>
              <w:widowControl/>
              <w:autoSpaceDE/>
              <w:autoSpaceDN/>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140,000</w:t>
            </w:r>
          </w:p>
        </w:tc>
        <w:tc>
          <w:tcPr>
            <w:tcW w:w="1819" w:type="dxa"/>
            <w:vAlign w:val="center"/>
          </w:tcPr>
          <w:p>
            <w:pPr>
              <w:widowControl/>
              <w:autoSpaceDE/>
              <w:autoSpaceDN/>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130,000</w:t>
            </w:r>
          </w:p>
        </w:tc>
        <w:tc>
          <w:tcPr>
            <w:tcW w:w="1518" w:type="dxa"/>
            <w:vAlign w:val="center"/>
          </w:tcPr>
          <w:p>
            <w:pPr>
              <w:widowControl/>
              <w:autoSpaceDE/>
              <w:autoSpaceDN/>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26,000</w:t>
            </w:r>
          </w:p>
        </w:tc>
        <w:tc>
          <w:tcPr>
            <w:tcW w:w="1819" w:type="dxa"/>
            <w:vAlign w:val="center"/>
          </w:tcPr>
          <w:p>
            <w:pPr>
              <w:widowControl/>
              <w:autoSpaceDE/>
              <w:autoSpaceDN/>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39,000</w:t>
            </w:r>
          </w:p>
        </w:tc>
        <w:tc>
          <w:tcPr>
            <w:tcW w:w="1518" w:type="dxa"/>
            <w:vAlign w:val="center"/>
          </w:tcPr>
          <w:p>
            <w:pPr>
              <w:widowControl/>
              <w:autoSpaceDE/>
              <w:autoSpaceDN/>
              <w:ind w:firstLine="0" w:firstLineChars="0"/>
              <w:jc w:val="center"/>
              <w:rPr>
                <w:rFonts w:ascii="Times New Roman" w:hAnsi="Times New Roman" w:eastAsia="楷体"/>
                <w:b/>
                <w:kern w:val="4"/>
                <w:sz w:val="21"/>
                <w:szCs w:val="21"/>
              </w:rPr>
            </w:pPr>
            <w:r>
              <w:rPr>
                <w:rFonts w:ascii="Times New Roman" w:hAnsi="Times New Roman" w:eastAsia="楷体"/>
                <w:b/>
                <w:kern w:val="4"/>
                <w:sz w:val="21"/>
                <w:szCs w:val="21"/>
              </w:rPr>
              <w:t>65,000</w:t>
            </w:r>
          </w:p>
        </w:tc>
        <w:tc>
          <w:tcPr>
            <w:tcW w:w="1130" w:type="dxa"/>
            <w:vAlign w:val="center"/>
          </w:tcPr>
          <w:p>
            <w:pPr>
              <w:widowControl/>
              <w:autoSpaceDE/>
              <w:autoSpaceDN/>
              <w:ind w:firstLine="0" w:firstLineChars="0"/>
              <w:jc w:val="center"/>
              <w:rPr>
                <w:rFonts w:ascii="Times New Roman" w:hAnsi="Times New Roman" w:eastAsia="楷体"/>
                <w:b/>
                <w:kern w:val="4"/>
                <w:sz w:val="21"/>
                <w:szCs w:val="21"/>
              </w:rPr>
            </w:pPr>
          </w:p>
        </w:tc>
        <w:tc>
          <w:tcPr>
            <w:tcW w:w="1331" w:type="dxa"/>
            <w:noWrap/>
            <w:vAlign w:val="center"/>
          </w:tcPr>
          <w:p>
            <w:pPr>
              <w:widowControl/>
              <w:autoSpaceDE/>
              <w:autoSpaceDN/>
              <w:ind w:firstLine="0" w:firstLineChars="0"/>
              <w:jc w:val="center"/>
              <w:rPr>
                <w:rFonts w:ascii="Times New Roman" w:hAnsi="Times New Roman" w:eastAsia="楷体"/>
                <w:b/>
                <w:kern w:val="4"/>
                <w:sz w:val="21"/>
                <w:szCs w:val="21"/>
              </w:rPr>
            </w:pP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22</w:t>
            </w:r>
          </w:p>
        </w:tc>
        <w:tc>
          <w:tcPr>
            <w:tcW w:w="2231"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禄口空港物流园区</w:t>
            </w:r>
          </w:p>
        </w:tc>
        <w:tc>
          <w:tcPr>
            <w:tcW w:w="1051"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续建</w:t>
            </w:r>
          </w:p>
        </w:tc>
        <w:tc>
          <w:tcPr>
            <w:tcW w:w="3213" w:type="dxa"/>
            <w:gridSpan w:val="2"/>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柘塘4平方公里，发展航空物流</w:t>
            </w:r>
          </w:p>
        </w:tc>
        <w:tc>
          <w:tcPr>
            <w:tcW w:w="1542"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2011-2020</w:t>
            </w:r>
          </w:p>
        </w:tc>
        <w:tc>
          <w:tcPr>
            <w:tcW w:w="1808"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270,000</w:t>
            </w: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140,000</w:t>
            </w:r>
          </w:p>
        </w:tc>
        <w:tc>
          <w:tcPr>
            <w:tcW w:w="1819"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130,000</w:t>
            </w:r>
          </w:p>
        </w:tc>
        <w:tc>
          <w:tcPr>
            <w:tcW w:w="1518" w:type="dxa"/>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26,000</w:t>
            </w:r>
          </w:p>
        </w:tc>
        <w:tc>
          <w:tcPr>
            <w:tcW w:w="1819"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39,000</w:t>
            </w:r>
          </w:p>
        </w:tc>
        <w:tc>
          <w:tcPr>
            <w:tcW w:w="1518" w:type="dxa"/>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65,000</w:t>
            </w:r>
          </w:p>
        </w:tc>
        <w:tc>
          <w:tcPr>
            <w:tcW w:w="1130" w:type="dxa"/>
            <w:vAlign w:val="center"/>
          </w:tcPr>
          <w:p>
            <w:pPr>
              <w:widowControl/>
              <w:autoSpaceDE/>
              <w:autoSpaceDN/>
              <w:ind w:firstLine="0" w:firstLineChars="0"/>
              <w:jc w:val="center"/>
              <w:rPr>
                <w:rFonts w:ascii="Times New Roman" w:hAnsi="Times New Roman" w:eastAsia="楷体"/>
                <w:kern w:val="4"/>
                <w:sz w:val="21"/>
                <w:szCs w:val="21"/>
              </w:rPr>
            </w:pPr>
          </w:p>
        </w:tc>
        <w:tc>
          <w:tcPr>
            <w:tcW w:w="1331" w:type="dxa"/>
            <w:noWrap/>
            <w:vAlign w:val="center"/>
          </w:tcPr>
          <w:p>
            <w:pPr>
              <w:widowControl/>
              <w:autoSpaceDE/>
              <w:autoSpaceDN/>
              <w:ind w:firstLine="0" w:firstLineChars="0"/>
              <w:jc w:val="center"/>
              <w:rPr>
                <w:rFonts w:ascii="Times New Roman" w:hAnsi="Times New Roman" w:eastAsia="华文仿宋"/>
                <w:kern w:val="4"/>
                <w:sz w:val="21"/>
                <w:szCs w:val="21"/>
              </w:rPr>
            </w:pPr>
            <w:r>
              <w:rPr>
                <w:rFonts w:ascii="Times New Roman" w:hAnsi="Times New Roman" w:eastAsia="华文仿宋"/>
                <w:kern w:val="4"/>
                <w:sz w:val="21"/>
                <w:szCs w:val="21"/>
              </w:rPr>
              <w:t>○</w:t>
            </w:r>
            <w:r>
              <w:rPr>
                <w:rFonts w:hint="eastAsia" w:eastAsia="宋体" w:cs="宋体"/>
                <w:kern w:val="4"/>
                <w:sz w:val="21"/>
                <w:szCs w:val="21"/>
              </w:rPr>
              <w:t>△</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六</w:t>
            </w:r>
          </w:p>
        </w:tc>
        <w:tc>
          <w:tcPr>
            <w:tcW w:w="2231" w:type="dxa"/>
            <w:noWrap/>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其他</w:t>
            </w:r>
          </w:p>
        </w:tc>
        <w:tc>
          <w:tcPr>
            <w:tcW w:w="1051" w:type="dxa"/>
            <w:noWrap/>
            <w:vAlign w:val="center"/>
          </w:tcPr>
          <w:p>
            <w:pPr>
              <w:widowControl/>
              <w:autoSpaceDE/>
              <w:autoSpaceDN/>
              <w:ind w:firstLine="0" w:firstLineChars="0"/>
              <w:jc w:val="center"/>
              <w:rPr>
                <w:rFonts w:ascii="Times New Roman" w:hAnsi="Times New Roman" w:eastAsia="楷体"/>
                <w:b/>
                <w:bCs/>
                <w:kern w:val="4"/>
                <w:sz w:val="21"/>
                <w:szCs w:val="21"/>
              </w:rPr>
            </w:pPr>
          </w:p>
        </w:tc>
        <w:tc>
          <w:tcPr>
            <w:tcW w:w="3213" w:type="dxa"/>
            <w:gridSpan w:val="2"/>
            <w:noWrap/>
            <w:vAlign w:val="center"/>
          </w:tcPr>
          <w:p>
            <w:pPr>
              <w:widowControl/>
              <w:autoSpaceDE/>
              <w:autoSpaceDN/>
              <w:ind w:firstLine="0" w:firstLineChars="0"/>
              <w:jc w:val="center"/>
              <w:rPr>
                <w:rFonts w:ascii="Times New Roman" w:hAnsi="Times New Roman" w:eastAsia="楷体"/>
                <w:b/>
                <w:bCs/>
                <w:kern w:val="4"/>
                <w:sz w:val="21"/>
                <w:szCs w:val="21"/>
              </w:rPr>
            </w:pPr>
          </w:p>
        </w:tc>
        <w:tc>
          <w:tcPr>
            <w:tcW w:w="1542" w:type="dxa"/>
            <w:noWrap/>
            <w:vAlign w:val="center"/>
          </w:tcPr>
          <w:p>
            <w:pPr>
              <w:widowControl/>
              <w:autoSpaceDE/>
              <w:autoSpaceDN/>
              <w:ind w:firstLine="0" w:firstLineChars="0"/>
              <w:jc w:val="center"/>
              <w:rPr>
                <w:rFonts w:ascii="Times New Roman" w:hAnsi="Times New Roman" w:eastAsia="楷体"/>
                <w:b/>
                <w:bCs/>
                <w:kern w:val="4"/>
                <w:sz w:val="21"/>
                <w:szCs w:val="21"/>
              </w:rPr>
            </w:pPr>
          </w:p>
        </w:tc>
        <w:tc>
          <w:tcPr>
            <w:tcW w:w="1808"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2,500</w:t>
            </w:r>
          </w:p>
        </w:tc>
        <w:tc>
          <w:tcPr>
            <w:tcW w:w="1518" w:type="dxa"/>
            <w:vAlign w:val="center"/>
          </w:tcPr>
          <w:p>
            <w:pPr>
              <w:widowControl/>
              <w:autoSpaceDE/>
              <w:autoSpaceDN/>
              <w:ind w:firstLine="0" w:firstLineChars="0"/>
              <w:jc w:val="center"/>
              <w:rPr>
                <w:rFonts w:ascii="Times New Roman" w:hAnsi="Times New Roman" w:eastAsia="楷体"/>
                <w:b/>
                <w:bCs/>
                <w:kern w:val="4"/>
                <w:sz w:val="21"/>
                <w:szCs w:val="21"/>
              </w:rPr>
            </w:pPr>
          </w:p>
        </w:tc>
        <w:tc>
          <w:tcPr>
            <w:tcW w:w="1819"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2,500</w:t>
            </w:r>
          </w:p>
        </w:tc>
        <w:tc>
          <w:tcPr>
            <w:tcW w:w="1518" w:type="dxa"/>
            <w:vAlign w:val="center"/>
          </w:tcPr>
          <w:p>
            <w:pPr>
              <w:widowControl/>
              <w:autoSpaceDE/>
              <w:autoSpaceDN/>
              <w:ind w:firstLine="0" w:firstLineChars="0"/>
              <w:jc w:val="center"/>
              <w:rPr>
                <w:rFonts w:ascii="Times New Roman" w:hAnsi="Times New Roman" w:eastAsia="楷体"/>
                <w:b/>
                <w:bCs/>
                <w:kern w:val="4"/>
                <w:sz w:val="21"/>
                <w:szCs w:val="21"/>
              </w:rPr>
            </w:pPr>
          </w:p>
        </w:tc>
        <w:tc>
          <w:tcPr>
            <w:tcW w:w="1819" w:type="dxa"/>
            <w:vAlign w:val="center"/>
          </w:tcPr>
          <w:p>
            <w:pPr>
              <w:widowControl/>
              <w:autoSpaceDE/>
              <w:autoSpaceDN/>
              <w:ind w:firstLine="0" w:firstLineChars="0"/>
              <w:jc w:val="center"/>
              <w:rPr>
                <w:rFonts w:ascii="Times New Roman" w:hAnsi="Times New Roman" w:eastAsia="楷体"/>
                <w:b/>
                <w:bCs/>
                <w:kern w:val="4"/>
                <w:sz w:val="21"/>
                <w:szCs w:val="21"/>
              </w:rPr>
            </w:pPr>
            <w:r>
              <w:rPr>
                <w:rFonts w:ascii="Times New Roman" w:hAnsi="Times New Roman" w:eastAsia="楷体"/>
                <w:b/>
                <w:bCs/>
                <w:kern w:val="4"/>
                <w:sz w:val="21"/>
                <w:szCs w:val="21"/>
              </w:rPr>
              <w:t>2,500</w:t>
            </w:r>
          </w:p>
        </w:tc>
        <w:tc>
          <w:tcPr>
            <w:tcW w:w="1518" w:type="dxa"/>
            <w:vAlign w:val="center"/>
          </w:tcPr>
          <w:p>
            <w:pPr>
              <w:widowControl/>
              <w:autoSpaceDE/>
              <w:autoSpaceDN/>
              <w:ind w:firstLine="0" w:firstLineChars="0"/>
              <w:jc w:val="center"/>
              <w:rPr>
                <w:rFonts w:ascii="Times New Roman" w:hAnsi="Times New Roman" w:eastAsia="楷体"/>
                <w:b/>
                <w:bCs/>
                <w:kern w:val="4"/>
                <w:sz w:val="21"/>
                <w:szCs w:val="21"/>
              </w:rPr>
            </w:pPr>
          </w:p>
        </w:tc>
        <w:tc>
          <w:tcPr>
            <w:tcW w:w="1130" w:type="dxa"/>
            <w:vAlign w:val="center"/>
          </w:tcPr>
          <w:p>
            <w:pPr>
              <w:widowControl/>
              <w:autoSpaceDE/>
              <w:autoSpaceDN/>
              <w:ind w:firstLine="0" w:firstLineChars="0"/>
              <w:jc w:val="center"/>
              <w:rPr>
                <w:rFonts w:ascii="Times New Roman" w:hAnsi="Times New Roman" w:eastAsia="楷体"/>
                <w:b/>
                <w:bCs/>
                <w:kern w:val="4"/>
                <w:sz w:val="21"/>
                <w:szCs w:val="21"/>
              </w:rPr>
            </w:pPr>
          </w:p>
        </w:tc>
        <w:tc>
          <w:tcPr>
            <w:tcW w:w="1331" w:type="dxa"/>
            <w:noWrap/>
            <w:vAlign w:val="center"/>
          </w:tcPr>
          <w:p>
            <w:pPr>
              <w:widowControl/>
              <w:autoSpaceDE/>
              <w:autoSpaceDN/>
              <w:ind w:firstLine="0" w:firstLineChars="0"/>
              <w:jc w:val="center"/>
              <w:rPr>
                <w:rFonts w:ascii="Times New Roman" w:hAnsi="Times New Roman" w:eastAsia="楷体"/>
                <w:b/>
                <w:bCs/>
                <w:kern w:val="4"/>
                <w:sz w:val="21"/>
                <w:szCs w:val="21"/>
              </w:rPr>
            </w:pP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tcBorders>
              <w:bottom w:val="double" w:color="auto" w:sz="6" w:space="0"/>
            </w:tcBorders>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23</w:t>
            </w:r>
          </w:p>
        </w:tc>
        <w:tc>
          <w:tcPr>
            <w:tcW w:w="2231" w:type="dxa"/>
            <w:tcBorders>
              <w:bottom w:val="double" w:color="auto" w:sz="6" w:space="0"/>
            </w:tcBorders>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交通运输信息化调度和指挥中心</w:t>
            </w:r>
          </w:p>
        </w:tc>
        <w:tc>
          <w:tcPr>
            <w:tcW w:w="1051" w:type="dxa"/>
            <w:tcBorders>
              <w:bottom w:val="double" w:color="auto" w:sz="6" w:space="0"/>
            </w:tcBorders>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新建</w:t>
            </w:r>
          </w:p>
        </w:tc>
        <w:tc>
          <w:tcPr>
            <w:tcW w:w="3213" w:type="dxa"/>
            <w:gridSpan w:val="2"/>
            <w:tcBorders>
              <w:bottom w:val="double" w:color="auto" w:sz="6" w:space="0"/>
            </w:tcBorders>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建设交通运输综合数据中心和“运行监测与预警、公共服务、决策支持”三个一级应用平台，同时互联网+出行服务、交通物流及行业管理三个二级专题业务系统和信息化接口规范及标准体</w:t>
            </w:r>
          </w:p>
        </w:tc>
        <w:tc>
          <w:tcPr>
            <w:tcW w:w="1542" w:type="dxa"/>
            <w:tcBorders>
              <w:bottom w:val="double" w:color="auto" w:sz="6" w:space="0"/>
            </w:tcBorders>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2017-2019</w:t>
            </w:r>
          </w:p>
        </w:tc>
        <w:tc>
          <w:tcPr>
            <w:tcW w:w="1808" w:type="dxa"/>
            <w:tcBorders>
              <w:bottom w:val="double" w:color="auto" w:sz="6" w:space="0"/>
            </w:tcBorders>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2,500</w:t>
            </w:r>
          </w:p>
        </w:tc>
        <w:tc>
          <w:tcPr>
            <w:tcW w:w="1518" w:type="dxa"/>
            <w:tcBorders>
              <w:bottom w:val="double" w:color="auto" w:sz="6" w:space="0"/>
            </w:tcBorders>
            <w:noWrap/>
            <w:vAlign w:val="center"/>
          </w:tcPr>
          <w:p>
            <w:pPr>
              <w:widowControl/>
              <w:autoSpaceDE/>
              <w:autoSpaceDN/>
              <w:ind w:firstLine="0" w:firstLineChars="0"/>
              <w:jc w:val="center"/>
              <w:rPr>
                <w:rFonts w:ascii="Times New Roman" w:hAnsi="Times New Roman" w:eastAsia="楷体"/>
                <w:kern w:val="4"/>
                <w:sz w:val="21"/>
                <w:szCs w:val="21"/>
              </w:rPr>
            </w:pPr>
          </w:p>
        </w:tc>
        <w:tc>
          <w:tcPr>
            <w:tcW w:w="1819" w:type="dxa"/>
            <w:tcBorders>
              <w:bottom w:val="double" w:color="auto" w:sz="6" w:space="0"/>
            </w:tcBorders>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2,500</w:t>
            </w:r>
          </w:p>
        </w:tc>
        <w:tc>
          <w:tcPr>
            <w:tcW w:w="1518" w:type="dxa"/>
            <w:tcBorders>
              <w:bottom w:val="double" w:color="auto" w:sz="6" w:space="0"/>
            </w:tcBorders>
            <w:noWrap/>
            <w:vAlign w:val="center"/>
          </w:tcPr>
          <w:p>
            <w:pPr>
              <w:widowControl/>
              <w:autoSpaceDE/>
              <w:autoSpaceDN/>
              <w:ind w:firstLine="0" w:firstLineChars="0"/>
              <w:jc w:val="center"/>
              <w:rPr>
                <w:rFonts w:ascii="Times New Roman" w:hAnsi="Times New Roman" w:eastAsia="楷体"/>
                <w:kern w:val="4"/>
                <w:sz w:val="21"/>
                <w:szCs w:val="21"/>
              </w:rPr>
            </w:pPr>
          </w:p>
        </w:tc>
        <w:tc>
          <w:tcPr>
            <w:tcW w:w="1819" w:type="dxa"/>
            <w:tcBorders>
              <w:bottom w:val="double" w:color="auto" w:sz="6" w:space="0"/>
            </w:tcBorders>
            <w:noWrap/>
            <w:vAlign w:val="center"/>
          </w:tcPr>
          <w:p>
            <w:pPr>
              <w:widowControl/>
              <w:autoSpaceDE/>
              <w:autoSpaceDN/>
              <w:ind w:firstLine="0" w:firstLineChars="0"/>
              <w:jc w:val="center"/>
              <w:rPr>
                <w:rFonts w:ascii="Times New Roman" w:hAnsi="Times New Roman" w:eastAsia="楷体"/>
                <w:kern w:val="4"/>
                <w:sz w:val="21"/>
                <w:szCs w:val="21"/>
              </w:rPr>
            </w:pPr>
            <w:r>
              <w:rPr>
                <w:rFonts w:ascii="Times New Roman" w:hAnsi="Times New Roman" w:eastAsia="楷体"/>
                <w:kern w:val="4"/>
                <w:sz w:val="21"/>
                <w:szCs w:val="21"/>
              </w:rPr>
              <w:t>2,500</w:t>
            </w:r>
          </w:p>
        </w:tc>
        <w:tc>
          <w:tcPr>
            <w:tcW w:w="1518" w:type="dxa"/>
            <w:tcBorders>
              <w:bottom w:val="double" w:color="auto" w:sz="6" w:space="0"/>
            </w:tcBorders>
            <w:noWrap/>
            <w:vAlign w:val="center"/>
          </w:tcPr>
          <w:p>
            <w:pPr>
              <w:widowControl/>
              <w:autoSpaceDE/>
              <w:autoSpaceDN/>
              <w:ind w:firstLine="0" w:firstLineChars="0"/>
              <w:jc w:val="center"/>
              <w:rPr>
                <w:rFonts w:ascii="Times New Roman" w:hAnsi="Times New Roman" w:eastAsia="楷体"/>
                <w:kern w:val="4"/>
                <w:sz w:val="21"/>
                <w:szCs w:val="21"/>
              </w:rPr>
            </w:pPr>
          </w:p>
        </w:tc>
        <w:tc>
          <w:tcPr>
            <w:tcW w:w="1130" w:type="dxa"/>
            <w:tcBorders>
              <w:bottom w:val="double" w:color="auto" w:sz="6" w:space="0"/>
            </w:tcBorders>
            <w:noWrap/>
            <w:vAlign w:val="center"/>
          </w:tcPr>
          <w:p>
            <w:pPr>
              <w:widowControl/>
              <w:autoSpaceDE/>
              <w:autoSpaceDN/>
              <w:ind w:firstLine="0" w:firstLineChars="0"/>
              <w:jc w:val="center"/>
              <w:rPr>
                <w:rFonts w:ascii="Times New Roman" w:hAnsi="Times New Roman" w:eastAsia="楷体"/>
                <w:kern w:val="4"/>
                <w:sz w:val="21"/>
                <w:szCs w:val="21"/>
              </w:rPr>
            </w:pPr>
          </w:p>
        </w:tc>
        <w:tc>
          <w:tcPr>
            <w:tcW w:w="1331" w:type="dxa"/>
            <w:tcBorders>
              <w:bottom w:val="double" w:color="auto" w:sz="6" w:space="0"/>
            </w:tcBorders>
            <w:noWrap/>
            <w:vAlign w:val="center"/>
          </w:tcPr>
          <w:p>
            <w:pPr>
              <w:widowControl/>
              <w:autoSpaceDE/>
              <w:autoSpaceDN/>
              <w:ind w:firstLine="0" w:firstLineChars="0"/>
              <w:jc w:val="center"/>
              <w:rPr>
                <w:rFonts w:ascii="Times New Roman" w:hAnsi="Times New Roman" w:eastAsia="楷体"/>
                <w:kern w:val="4"/>
                <w:sz w:val="21"/>
                <w:szCs w:val="21"/>
              </w:rPr>
            </w:pPr>
          </w:p>
        </w:tc>
      </w:tr>
    </w:tbl>
    <w:p>
      <w:pPr>
        <w:ind w:firstLine="0" w:firstLineChars="0"/>
        <w:rPr>
          <w:rFonts w:ascii="Times New Roman" w:hAnsi="Times New Roman" w:eastAsia="华文仿宋"/>
          <w:bCs/>
          <w:kern w:val="4"/>
          <w:sz w:val="21"/>
          <w:szCs w:val="21"/>
        </w:rPr>
      </w:pPr>
      <w:r>
        <w:rPr>
          <w:rFonts w:ascii="Times New Roman" w:hAnsi="Times New Roman" w:eastAsia="华文仿宋"/>
          <w:bCs/>
          <w:kern w:val="4"/>
          <w:sz w:val="21"/>
          <w:szCs w:val="21"/>
        </w:rPr>
        <w:t>注：1、“○”南京市交通运输十三五项目；“</w:t>
      </w:r>
      <w:r>
        <w:rPr>
          <w:rFonts w:hint="eastAsia" w:eastAsia="宋体" w:cs="宋体"/>
          <w:bCs/>
          <w:kern w:val="4"/>
          <w:sz w:val="21"/>
          <w:szCs w:val="21"/>
        </w:rPr>
        <w:t>△</w:t>
      </w:r>
      <w:r>
        <w:rPr>
          <w:rFonts w:ascii="Times New Roman" w:hAnsi="Times New Roman" w:eastAsia="华文仿宋"/>
          <w:bCs/>
          <w:kern w:val="4"/>
          <w:sz w:val="21"/>
          <w:szCs w:val="21"/>
        </w:rPr>
        <w:t>”南京市交通运输现代化实施方案项目</w:t>
      </w:r>
    </w:p>
    <w:p>
      <w:pPr>
        <w:ind w:firstLine="420"/>
        <w:rPr>
          <w:rFonts w:ascii="Times New Roman" w:hAnsi="Times New Roman" w:eastAsia="华文仿宋"/>
          <w:bCs/>
          <w:kern w:val="4"/>
          <w:sz w:val="30"/>
          <w:szCs w:val="30"/>
        </w:rPr>
      </w:pPr>
      <w:r>
        <w:rPr>
          <w:rFonts w:ascii="Times New Roman" w:hAnsi="Times New Roman" w:eastAsia="华文仿宋"/>
          <w:bCs/>
          <w:kern w:val="4"/>
          <w:sz w:val="21"/>
          <w:szCs w:val="21"/>
        </w:rPr>
        <w:t>2、</w:t>
      </w:r>
      <w:r>
        <w:rPr>
          <w:rFonts w:ascii="Times New Roman" w:hAnsi="Times New Roman" w:eastAsia="楷体"/>
          <w:kern w:val="4"/>
          <w:sz w:val="21"/>
          <w:szCs w:val="21"/>
        </w:rPr>
        <w:t>秦淮河航道整治工程总投资为33亿元，具体省市补助及地方配套资金比例待定。</w:t>
      </w:r>
    </w:p>
    <w:p>
      <w:pPr>
        <w:ind w:firstLine="0" w:firstLineChars="0"/>
        <w:rPr>
          <w:rFonts w:ascii="Times New Roman" w:hAnsi="Times New Roman" w:eastAsia="华文仿宋"/>
          <w:bCs/>
          <w:kern w:val="4"/>
          <w:sz w:val="30"/>
          <w:szCs w:val="30"/>
        </w:rPr>
      </w:pPr>
    </w:p>
    <w:p>
      <w:pPr>
        <w:ind w:firstLine="0" w:firstLineChars="0"/>
        <w:rPr>
          <w:rFonts w:ascii="Times New Roman" w:hAnsi="Times New Roman" w:eastAsia="华文仿宋"/>
          <w:bCs/>
          <w:kern w:val="4"/>
          <w:sz w:val="30"/>
          <w:szCs w:val="30"/>
        </w:rPr>
      </w:pPr>
    </w:p>
    <w:p>
      <w:pPr>
        <w:ind w:firstLine="0" w:firstLineChars="0"/>
        <w:rPr>
          <w:rFonts w:ascii="Times New Roman" w:hAnsi="Times New Roman" w:eastAsia="华文仿宋"/>
          <w:bCs/>
          <w:kern w:val="4"/>
          <w:sz w:val="30"/>
          <w:szCs w:val="30"/>
        </w:rPr>
      </w:pPr>
    </w:p>
    <w:sectPr>
      <w:headerReference r:id="rId21" w:type="default"/>
      <w:footerReference r:id="rId23" w:type="default"/>
      <w:headerReference r:id="rId22" w:type="even"/>
      <w:pgSz w:w="23814" w:h="16840" w:orient="landscape"/>
      <w:pgMar w:top="1418" w:right="1134" w:bottom="1418" w:left="1418" w:header="992" w:footer="992" w:gutter="0"/>
      <w:pgNumType w:start="1"/>
      <w:cols w:space="720" w:num="1"/>
      <w:docGrid w:linePitch="381"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user101" w:date="2017-02-23T11:57:00Z" w:initials="u">
    <w:p w14:paraId="76C97334">
      <w:pPr>
        <w:pStyle w:val="12"/>
        <w:ind w:firstLine="420"/>
      </w:pPr>
      <w:r>
        <w:rPr>
          <w:rFonts w:hint="eastAsia"/>
        </w:rPr>
        <w:t>删除</w:t>
      </w:r>
    </w:p>
  </w:comment>
  <w:comment w:id="1" w:author="user101" w:date="2017-02-23T11:57:00Z" w:initials="u">
    <w:p w14:paraId="74D0006C">
      <w:pPr>
        <w:pStyle w:val="12"/>
        <w:ind w:firstLine="420"/>
      </w:pPr>
      <w:r>
        <w:rPr>
          <w:rFonts w:hint="eastAsia"/>
        </w:rPr>
        <w:t>改为“期间”</w:t>
      </w:r>
    </w:p>
  </w:comment>
  <w:comment w:id="2" w:author="user101" w:date="2017-02-23T11:57:00Z" w:initials="u">
    <w:p w14:paraId="4D2F386C">
      <w:pPr>
        <w:pStyle w:val="12"/>
        <w:ind w:firstLine="420"/>
      </w:pPr>
      <w:r>
        <w:rPr>
          <w:rFonts w:hint="eastAsia"/>
        </w:rPr>
        <w:t>删除</w:t>
      </w:r>
    </w:p>
  </w:comment>
  <w:comment w:id="3" w:author="user101" w:date="2017-02-23T11:58:00Z" w:initials="u">
    <w:p w14:paraId="52356A4C">
      <w:pPr>
        <w:pStyle w:val="12"/>
        <w:ind w:firstLine="420"/>
      </w:pPr>
      <w:r>
        <w:rPr>
          <w:rFonts w:hint="eastAsia"/>
        </w:rPr>
        <w:t>改为“区域内”</w:t>
      </w:r>
    </w:p>
  </w:comment>
  <w:comment w:id="4" w:author="user101" w:date="2017-02-23T11:58:00Z" w:initials="u">
    <w:p w14:paraId="58E2286B">
      <w:pPr>
        <w:pStyle w:val="12"/>
        <w:ind w:firstLine="420"/>
      </w:pPr>
      <w:r>
        <w:rPr>
          <w:rFonts w:hint="eastAsia"/>
        </w:rPr>
        <w:t>删除</w:t>
      </w:r>
    </w:p>
  </w:comment>
  <w:comment w:id="5" w:author="user101" w:date="2017-02-23T11:59:00Z" w:initials="u">
    <w:p w14:paraId="709A5764">
      <w:pPr>
        <w:pStyle w:val="12"/>
        <w:ind w:firstLine="420"/>
      </w:pPr>
      <w:r>
        <w:rPr>
          <w:rFonts w:hint="eastAsia"/>
        </w:rPr>
        <w:t>删除，改为“力争十三五” 期间开工建设</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6C97334" w15:done="0"/>
  <w15:commentEx w15:paraId="74D0006C" w15:done="0"/>
  <w15:commentEx w15:paraId="4D2F386C" w15:done="0"/>
  <w15:commentEx w15:paraId="52356A4C" w15:done="0"/>
  <w15:commentEx w15:paraId="58E2286B" w15:done="0"/>
  <w15:commentEx w15:paraId="709A576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新魏">
    <w:panose1 w:val="02010800040101010101"/>
    <w:charset w:val="86"/>
    <w:family w:val="auto"/>
    <w:pitch w:val="default"/>
    <w:sig w:usb0="00000001" w:usb1="080F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Century Gothic">
    <w:altName w:val="Segoe Print"/>
    <w:panose1 w:val="00000000000000000000"/>
    <w:charset w:val="00"/>
    <w:family w:val="swiss"/>
    <w:pitch w:val="default"/>
    <w:sig w:usb0="00000000" w:usb1="00000000" w:usb2="00000000" w:usb3="00000000" w:csb0="000000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华文仿宋">
    <w:altName w:val="微软雅黑"/>
    <w:panose1 w:val="00000000000000000000"/>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jc w:val="center"/>
    </w:pPr>
  </w:p>
  <w:p>
    <w:pPr>
      <w:pStyle w:val="19"/>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Chars="1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top w:val="single" w:color="auto" w:sz="4" w:space="1"/>
      </w:pBdr>
      <w:ind w:firstLine="0" w:firstLineChars="0"/>
      <w:jc w:val="both"/>
      <w:rPr>
        <w:rFonts w:ascii="华文新魏" w:eastAsia="华文新魏"/>
        <w:sz w:val="21"/>
        <w:szCs w:val="21"/>
      </w:rPr>
    </w:pPr>
    <w:r>
      <w:rPr>
        <w:rFonts w:hint="eastAsia" w:ascii="华文新魏" w:eastAsia="华文新魏"/>
        <w:sz w:val="21"/>
        <w:szCs w:val="21"/>
      </w:rPr>
      <w:t>苏交科集团股份有限公司</w:t>
    </w:r>
    <w:r>
      <w:rPr>
        <w:rFonts w:ascii="华文新魏" w:eastAsia="华文新魏"/>
        <w:sz w:val="21"/>
        <w:szCs w:val="21"/>
      </w:rPr>
      <w:fldChar w:fldCharType="begin"/>
    </w:r>
    <w:r>
      <w:rPr>
        <w:rFonts w:ascii="华文新魏" w:eastAsia="华文新魏"/>
        <w:sz w:val="21"/>
        <w:szCs w:val="21"/>
      </w:rPr>
      <w:instrText xml:space="preserve">PAGE   \* MERGEFORMAT</w:instrText>
    </w:r>
    <w:r>
      <w:rPr>
        <w:rFonts w:ascii="华文新魏" w:eastAsia="华文新魏"/>
        <w:sz w:val="21"/>
        <w:szCs w:val="21"/>
      </w:rPr>
      <w:fldChar w:fldCharType="separate"/>
    </w:r>
    <w:r>
      <w:rPr>
        <w:rFonts w:ascii="华文新魏" w:eastAsia="华文新魏"/>
        <w:sz w:val="21"/>
        <w:szCs w:val="21"/>
        <w:lang w:val="zh-CN"/>
      </w:rPr>
      <w:t>5</w:t>
    </w:r>
    <w:r>
      <w:rPr>
        <w:rFonts w:ascii="华文新魏" w:eastAsia="华文新魏"/>
        <w:sz w:val="21"/>
        <w:szCs w:val="21"/>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top w:val="single" w:color="auto" w:sz="4" w:space="1"/>
      </w:pBdr>
      <w:ind w:firstLine="0" w:firstLineChars="0"/>
      <w:jc w:val="both"/>
      <w:rPr>
        <w:rFonts w:ascii="华文新魏" w:eastAsia="华文新魏"/>
        <w:sz w:val="21"/>
        <w:szCs w:val="21"/>
      </w:rPr>
    </w:pPr>
    <w:r>
      <w:rPr>
        <w:rFonts w:hint="eastAsia" w:ascii="华文新魏" w:eastAsia="华文新魏"/>
        <w:sz w:val="21"/>
        <w:szCs w:val="21"/>
      </w:rPr>
      <w:t>苏交科集团股份有限公司</w:t>
    </w:r>
    <w:r>
      <w:rPr>
        <w:rFonts w:ascii="华文新魏" w:eastAsia="华文新魏"/>
        <w:sz w:val="21"/>
        <w:szCs w:val="21"/>
      </w:rPr>
      <w:fldChar w:fldCharType="begin"/>
    </w:r>
    <w:r>
      <w:rPr>
        <w:rFonts w:ascii="华文新魏" w:eastAsia="华文新魏"/>
        <w:sz w:val="21"/>
        <w:szCs w:val="21"/>
      </w:rPr>
      <w:instrText xml:space="preserve">PAGE   \* MERGEFORMAT</w:instrText>
    </w:r>
    <w:r>
      <w:rPr>
        <w:rFonts w:ascii="华文新魏" w:eastAsia="华文新魏"/>
        <w:sz w:val="21"/>
        <w:szCs w:val="21"/>
      </w:rPr>
      <w:fldChar w:fldCharType="separate"/>
    </w:r>
    <w:r>
      <w:rPr>
        <w:rFonts w:ascii="华文新魏" w:eastAsia="华文新魏"/>
        <w:sz w:val="21"/>
        <w:szCs w:val="21"/>
        <w:lang w:val="zh-CN"/>
      </w:rPr>
      <w:t>67</w:t>
    </w:r>
    <w:r>
      <w:rPr>
        <w:rFonts w:ascii="华文新魏" w:eastAsia="华文新魏"/>
        <w:sz w:val="21"/>
        <w:szCs w:val="21"/>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ind w:firstLine="36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wordWrap w:val="0"/>
      <w:ind w:right="180" w:firstLine="739" w:firstLineChars="411"/>
      <w:jc w:val="right"/>
    </w:pPr>
    <w:r>
      <w:drawing>
        <wp:anchor distT="0" distB="0" distL="114300" distR="114300" simplePos="0" relativeHeight="251661312" behindDoc="0" locked="0" layoutInCell="1" allowOverlap="1">
          <wp:simplePos x="0" y="0"/>
          <wp:positionH relativeFrom="column">
            <wp:posOffset>-49530</wp:posOffset>
          </wp:positionH>
          <wp:positionV relativeFrom="paragraph">
            <wp:posOffset>-186055</wp:posOffset>
          </wp:positionV>
          <wp:extent cx="648335" cy="351155"/>
          <wp:effectExtent l="0" t="0" r="0" b="0"/>
          <wp:wrapNone/>
          <wp:docPr id="6" name="图片 8" descr="PPT-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descr="PPT-02"/>
                  <pic:cNvPicPr>
                    <a:picLocks noChangeAspect="1" noChangeArrowheads="1"/>
                  </pic:cNvPicPr>
                </pic:nvPicPr>
                <pic:blipFill>
                  <a:blip r:embed="rId1">
                    <a:extLst>
                      <a:ext uri="{28A0092B-C50C-407E-A947-70E740481C1C}">
                        <a14:useLocalDpi xmlns:a14="http://schemas.microsoft.com/office/drawing/2010/main" val="0"/>
                      </a:ext>
                    </a:extLst>
                  </a:blip>
                  <a:srcRect l="80460" t="22394" r="3905"/>
                  <a:stretch>
                    <a:fillRect/>
                  </a:stretch>
                </pic:blipFill>
                <pic:spPr>
                  <a:xfrm>
                    <a:off x="0" y="0"/>
                    <a:ext cx="648335" cy="351155"/>
                  </a:xfrm>
                  <a:prstGeom prst="rect">
                    <a:avLst/>
                  </a:prstGeom>
                  <a:noFill/>
                </pic:spPr>
              </pic:pic>
            </a:graphicData>
          </a:graphic>
        </wp:anchor>
      </w:drawing>
    </w:r>
    <w:r>
      <w:rPr>
        <w:rFonts w:hint="eastAsia" w:ascii="华文新魏" w:eastAsia="华文新魏"/>
        <w:sz w:val="21"/>
        <w:szCs w:val="21"/>
      </w:rPr>
      <w:t>溧水区“十三五”交通运输发展规划                                第五章保障措施</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560"/>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wordWrap w:val="0"/>
      <w:ind w:firstLine="360"/>
      <w:jc w:val="right"/>
      <w:rPr>
        <w:rFonts w:ascii="华文新魏" w:eastAsia="华文新魏"/>
        <w:sz w:val="21"/>
        <w:szCs w:val="21"/>
      </w:rPr>
    </w:pPr>
    <w:r>
      <w:drawing>
        <wp:anchor distT="0" distB="0" distL="114300" distR="114300" simplePos="0" relativeHeight="251658240" behindDoc="0" locked="0" layoutInCell="1" allowOverlap="1">
          <wp:simplePos x="0" y="0"/>
          <wp:positionH relativeFrom="column">
            <wp:posOffset>-46990</wp:posOffset>
          </wp:positionH>
          <wp:positionV relativeFrom="paragraph">
            <wp:posOffset>-229870</wp:posOffset>
          </wp:positionV>
          <wp:extent cx="490855" cy="490855"/>
          <wp:effectExtent l="0" t="0" r="4445" b="4445"/>
          <wp:wrapSquare wrapText="bothSides"/>
          <wp:docPr id="7" name="图片 2" descr="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院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90855" cy="490855"/>
                  </a:xfrm>
                  <a:prstGeom prst="rect">
                    <a:avLst/>
                  </a:prstGeom>
                  <a:noFill/>
                </pic:spPr>
              </pic:pic>
            </a:graphicData>
          </a:graphic>
        </wp:anchor>
      </w:drawing>
    </w:r>
    <w:r>
      <w:rPr>
        <w:rFonts w:hint="eastAsia" w:ascii="华文新魏" w:eastAsia="华文新魏"/>
        <w:sz w:val="21"/>
        <w:szCs w:val="21"/>
      </w:rPr>
      <w:t>盱眙区综合交通运输发展规划第</w:t>
    </w:r>
    <w:r>
      <w:rPr>
        <w:rFonts w:ascii="华文新魏" w:eastAsia="华文新魏"/>
        <w:sz w:val="21"/>
        <w:szCs w:val="21"/>
      </w:rPr>
      <w:t>9</w:t>
    </w:r>
    <w:r>
      <w:rPr>
        <w:rFonts w:hint="eastAsia" w:ascii="华文新魏" w:eastAsia="华文新魏"/>
        <w:sz w:val="21"/>
        <w:szCs w:val="21"/>
      </w:rPr>
      <w:t>章交通运输服务规划</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right" w:pos="9356"/>
        <w:tab w:val="clear" w:pos="8306"/>
      </w:tabs>
      <w:wordWrap w:val="0"/>
      <w:ind w:right="-2" w:firstLine="739" w:firstLineChars="411"/>
      <w:jc w:val="right"/>
    </w:pPr>
    <w:r>
      <w:drawing>
        <wp:anchor distT="0" distB="0" distL="114300" distR="114300" simplePos="0" relativeHeight="251657216" behindDoc="0" locked="0" layoutInCell="1" allowOverlap="1">
          <wp:simplePos x="0" y="0"/>
          <wp:positionH relativeFrom="column">
            <wp:posOffset>-250190</wp:posOffset>
          </wp:positionH>
          <wp:positionV relativeFrom="paragraph">
            <wp:posOffset>-173355</wp:posOffset>
          </wp:positionV>
          <wp:extent cx="648335" cy="351155"/>
          <wp:effectExtent l="0" t="0" r="0" b="0"/>
          <wp:wrapNone/>
          <wp:docPr id="1" name="图片 10" descr="PPT-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descr="PPT-02"/>
                  <pic:cNvPicPr>
                    <a:picLocks noChangeAspect="1" noChangeArrowheads="1"/>
                  </pic:cNvPicPr>
                </pic:nvPicPr>
                <pic:blipFill>
                  <a:blip r:embed="rId1">
                    <a:extLst>
                      <a:ext uri="{28A0092B-C50C-407E-A947-70E740481C1C}">
                        <a14:useLocalDpi xmlns:a14="http://schemas.microsoft.com/office/drawing/2010/main" val="0"/>
                      </a:ext>
                    </a:extLst>
                  </a:blip>
                  <a:srcRect l="80460" t="22394" r="3905"/>
                  <a:stretch>
                    <a:fillRect/>
                  </a:stretch>
                </pic:blipFill>
                <pic:spPr>
                  <a:xfrm>
                    <a:off x="0" y="0"/>
                    <a:ext cx="648335" cy="351155"/>
                  </a:xfrm>
                  <a:prstGeom prst="rect">
                    <a:avLst/>
                  </a:prstGeom>
                  <a:noFill/>
                </pic:spPr>
              </pic:pic>
            </a:graphicData>
          </a:graphic>
        </wp:anchor>
      </w:drawing>
    </w:r>
    <w:r>
      <w:rPr>
        <w:rFonts w:hint="eastAsia" w:ascii="华文新魏" w:eastAsia="华文新魏"/>
        <w:sz w:val="21"/>
        <w:szCs w:val="21"/>
      </w:rPr>
      <w:t>溧水区“十三五”交通运输发展规划                                               目录</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right" w:pos="9356"/>
        <w:tab w:val="clear" w:pos="8306"/>
      </w:tabs>
      <w:wordWrap w:val="0"/>
      <w:ind w:right="-2" w:firstLine="739" w:firstLineChars="411"/>
      <w:jc w:val="both"/>
    </w:pPr>
    <w:r>
      <w:drawing>
        <wp:anchor distT="0" distB="0" distL="114300" distR="114300" simplePos="0" relativeHeight="251659264" behindDoc="0" locked="0" layoutInCell="1" allowOverlap="1">
          <wp:simplePos x="0" y="0"/>
          <wp:positionH relativeFrom="column">
            <wp:posOffset>-250190</wp:posOffset>
          </wp:positionH>
          <wp:positionV relativeFrom="paragraph">
            <wp:posOffset>-173355</wp:posOffset>
          </wp:positionV>
          <wp:extent cx="648335" cy="351155"/>
          <wp:effectExtent l="0" t="0" r="0" b="0"/>
          <wp:wrapNone/>
          <wp:docPr id="8" name="图片 8" descr="PPT-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PPT-02"/>
                  <pic:cNvPicPr>
                    <a:picLocks noChangeAspect="1" noChangeArrowheads="1"/>
                  </pic:cNvPicPr>
                </pic:nvPicPr>
                <pic:blipFill>
                  <a:blip r:embed="rId1">
                    <a:extLst>
                      <a:ext uri="{28A0092B-C50C-407E-A947-70E740481C1C}">
                        <a14:useLocalDpi xmlns:a14="http://schemas.microsoft.com/office/drawing/2010/main" val="0"/>
                      </a:ext>
                    </a:extLst>
                  </a:blip>
                  <a:srcRect l="80460" t="22394" r="3905"/>
                  <a:stretch>
                    <a:fillRect/>
                  </a:stretch>
                </pic:blipFill>
                <pic:spPr>
                  <a:xfrm>
                    <a:off x="0" y="0"/>
                    <a:ext cx="648335" cy="351155"/>
                  </a:xfrm>
                  <a:prstGeom prst="rect">
                    <a:avLst/>
                  </a:prstGeom>
                  <a:noFill/>
                </pic:spPr>
              </pic:pic>
            </a:graphicData>
          </a:graphic>
        </wp:anchor>
      </w:drawing>
    </w:r>
    <w:r>
      <w:rPr>
        <w:rFonts w:hint="eastAsia" w:ascii="华文新魏" w:eastAsia="华文新魏"/>
        <w:sz w:val="21"/>
        <w:szCs w:val="21"/>
      </w:rPr>
      <w:t>溧水区“十三五”交通运输发展规划       前 言</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wordWrap w:val="0"/>
      <w:ind w:right="180" w:firstLine="739" w:firstLineChars="411"/>
      <w:jc w:val="right"/>
    </w:pPr>
    <w:r>
      <w:drawing>
        <wp:anchor distT="0" distB="0" distL="114300" distR="114300" simplePos="0" relativeHeight="251654144" behindDoc="0" locked="0" layoutInCell="1" allowOverlap="1">
          <wp:simplePos x="0" y="0"/>
          <wp:positionH relativeFrom="column">
            <wp:posOffset>-90805</wp:posOffset>
          </wp:positionH>
          <wp:positionV relativeFrom="paragraph">
            <wp:posOffset>-185420</wp:posOffset>
          </wp:positionV>
          <wp:extent cx="648335" cy="351155"/>
          <wp:effectExtent l="0" t="0" r="0" b="0"/>
          <wp:wrapNone/>
          <wp:docPr id="2" name="图片 7" descr="PPT-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descr="PPT-02"/>
                  <pic:cNvPicPr>
                    <a:picLocks noChangeAspect="1" noChangeArrowheads="1"/>
                  </pic:cNvPicPr>
                </pic:nvPicPr>
                <pic:blipFill>
                  <a:blip r:embed="rId1">
                    <a:extLst>
                      <a:ext uri="{28A0092B-C50C-407E-A947-70E740481C1C}">
                        <a14:useLocalDpi xmlns:a14="http://schemas.microsoft.com/office/drawing/2010/main" val="0"/>
                      </a:ext>
                    </a:extLst>
                  </a:blip>
                  <a:srcRect l="80460" t="22394" r="3905"/>
                  <a:stretch>
                    <a:fillRect/>
                  </a:stretch>
                </pic:blipFill>
                <pic:spPr>
                  <a:xfrm>
                    <a:off x="0" y="0"/>
                    <a:ext cx="648335" cy="351155"/>
                  </a:xfrm>
                  <a:prstGeom prst="rect">
                    <a:avLst/>
                  </a:prstGeom>
                  <a:noFill/>
                </pic:spPr>
              </pic:pic>
            </a:graphicData>
          </a:graphic>
        </wp:anchor>
      </w:drawing>
    </w:r>
    <w:r>
      <w:rPr>
        <w:rFonts w:hint="eastAsia" w:ascii="华文新魏" w:eastAsia="华文新魏"/>
        <w:sz w:val="21"/>
        <w:szCs w:val="21"/>
      </w:rPr>
      <w:t>溧水区“十三五”交通运输发展规划                 第一章“十二五”发展回顾与评价</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wordWrap w:val="0"/>
      <w:ind w:firstLine="739" w:firstLineChars="411"/>
      <w:jc w:val="right"/>
    </w:pPr>
    <w:r>
      <w:drawing>
        <wp:anchor distT="0" distB="0" distL="114300" distR="114300" simplePos="0" relativeHeight="251655168" behindDoc="0" locked="0" layoutInCell="1" allowOverlap="1">
          <wp:simplePos x="0" y="0"/>
          <wp:positionH relativeFrom="column">
            <wp:posOffset>-49530</wp:posOffset>
          </wp:positionH>
          <wp:positionV relativeFrom="paragraph">
            <wp:posOffset>-186055</wp:posOffset>
          </wp:positionV>
          <wp:extent cx="648335" cy="351155"/>
          <wp:effectExtent l="0" t="0" r="0" b="0"/>
          <wp:wrapNone/>
          <wp:docPr id="3" name="图片 1" descr="PPT-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PPT-02"/>
                  <pic:cNvPicPr>
                    <a:picLocks noChangeAspect="1" noChangeArrowheads="1"/>
                  </pic:cNvPicPr>
                </pic:nvPicPr>
                <pic:blipFill>
                  <a:blip r:embed="rId1">
                    <a:extLst>
                      <a:ext uri="{28A0092B-C50C-407E-A947-70E740481C1C}">
                        <a14:useLocalDpi xmlns:a14="http://schemas.microsoft.com/office/drawing/2010/main" val="0"/>
                      </a:ext>
                    </a:extLst>
                  </a:blip>
                  <a:srcRect l="80460" t="22394" r="3905"/>
                  <a:stretch>
                    <a:fillRect/>
                  </a:stretch>
                </pic:blipFill>
                <pic:spPr>
                  <a:xfrm>
                    <a:off x="0" y="0"/>
                    <a:ext cx="648335" cy="351155"/>
                  </a:xfrm>
                  <a:prstGeom prst="rect">
                    <a:avLst/>
                  </a:prstGeom>
                  <a:noFill/>
                </pic:spPr>
              </pic:pic>
            </a:graphicData>
          </a:graphic>
        </wp:anchor>
      </w:drawing>
    </w:r>
    <w:r>
      <w:rPr>
        <w:rFonts w:hint="eastAsia" w:ascii="华文新魏" w:eastAsia="华文新魏"/>
        <w:sz w:val="21"/>
        <w:szCs w:val="21"/>
      </w:rPr>
      <w:t>溧水区“十三五”交通运输发展规划                  第二章“十三五”发展形势与需求</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wordWrap w:val="0"/>
      <w:ind w:right="180" w:firstLine="739" w:firstLineChars="411"/>
      <w:jc w:val="right"/>
    </w:pPr>
    <w:r>
      <w:drawing>
        <wp:anchor distT="0" distB="0" distL="114300" distR="114300" simplePos="0" relativeHeight="251658240" behindDoc="0" locked="0" layoutInCell="1" allowOverlap="1">
          <wp:simplePos x="0" y="0"/>
          <wp:positionH relativeFrom="column">
            <wp:posOffset>-49530</wp:posOffset>
          </wp:positionH>
          <wp:positionV relativeFrom="paragraph">
            <wp:posOffset>-186055</wp:posOffset>
          </wp:positionV>
          <wp:extent cx="648335" cy="351155"/>
          <wp:effectExtent l="0" t="0" r="0" b="0"/>
          <wp:wrapNone/>
          <wp:docPr id="4" name="图片 3" descr="PPT-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PPT-02"/>
                  <pic:cNvPicPr>
                    <a:picLocks noChangeAspect="1" noChangeArrowheads="1"/>
                  </pic:cNvPicPr>
                </pic:nvPicPr>
                <pic:blipFill>
                  <a:blip r:embed="rId1">
                    <a:extLst>
                      <a:ext uri="{28A0092B-C50C-407E-A947-70E740481C1C}">
                        <a14:useLocalDpi xmlns:a14="http://schemas.microsoft.com/office/drawing/2010/main" val="0"/>
                      </a:ext>
                    </a:extLst>
                  </a:blip>
                  <a:srcRect l="80460" t="22394" r="3905"/>
                  <a:stretch>
                    <a:fillRect/>
                  </a:stretch>
                </pic:blipFill>
                <pic:spPr>
                  <a:xfrm>
                    <a:off x="0" y="0"/>
                    <a:ext cx="648335" cy="351155"/>
                  </a:xfrm>
                  <a:prstGeom prst="rect">
                    <a:avLst/>
                  </a:prstGeom>
                  <a:noFill/>
                </pic:spPr>
              </pic:pic>
            </a:graphicData>
          </a:graphic>
        </wp:anchor>
      </w:drawing>
    </w:r>
    <w:r>
      <w:rPr>
        <w:rFonts w:hint="eastAsia" w:ascii="华文新魏" w:eastAsia="华文新魏"/>
        <w:sz w:val="21"/>
        <w:szCs w:val="21"/>
      </w:rPr>
      <w:t>溧水区“十三五”交通运输发展规划             第三章“十三五”发展思路与目标</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wordWrap w:val="0"/>
      <w:ind w:right="180" w:firstLine="739" w:firstLineChars="411"/>
      <w:jc w:val="right"/>
    </w:pPr>
    <w:r>
      <w:drawing>
        <wp:anchor distT="0" distB="0" distL="114300" distR="114300" simplePos="0" relativeHeight="251660288" behindDoc="0" locked="0" layoutInCell="1" allowOverlap="1">
          <wp:simplePos x="0" y="0"/>
          <wp:positionH relativeFrom="column">
            <wp:posOffset>-90170</wp:posOffset>
          </wp:positionH>
          <wp:positionV relativeFrom="paragraph">
            <wp:posOffset>-186055</wp:posOffset>
          </wp:positionV>
          <wp:extent cx="648335" cy="351155"/>
          <wp:effectExtent l="0" t="0" r="0" b="0"/>
          <wp:wrapNone/>
          <wp:docPr id="5" name="图片 4" descr="PPT-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PPT-02"/>
                  <pic:cNvPicPr>
                    <a:picLocks noChangeAspect="1" noChangeArrowheads="1"/>
                  </pic:cNvPicPr>
                </pic:nvPicPr>
                <pic:blipFill>
                  <a:blip r:embed="rId1">
                    <a:extLst>
                      <a:ext uri="{28A0092B-C50C-407E-A947-70E740481C1C}">
                        <a14:useLocalDpi xmlns:a14="http://schemas.microsoft.com/office/drawing/2010/main" val="0"/>
                      </a:ext>
                    </a:extLst>
                  </a:blip>
                  <a:srcRect l="80460" t="22394" r="3905"/>
                  <a:stretch>
                    <a:fillRect/>
                  </a:stretch>
                </pic:blipFill>
                <pic:spPr>
                  <a:xfrm>
                    <a:off x="0" y="0"/>
                    <a:ext cx="648335" cy="351155"/>
                  </a:xfrm>
                  <a:prstGeom prst="rect">
                    <a:avLst/>
                  </a:prstGeom>
                  <a:noFill/>
                </pic:spPr>
              </pic:pic>
            </a:graphicData>
          </a:graphic>
        </wp:anchor>
      </w:drawing>
    </w:r>
    <w:r>
      <w:rPr>
        <w:rFonts w:hint="eastAsia" w:ascii="华文新魏" w:eastAsia="华文新魏"/>
        <w:sz w:val="21"/>
        <w:szCs w:val="21"/>
      </w:rPr>
      <w:t>溧水区“十三五”交通运输发展规划                 第四章“十三五”发展重点与任务</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3353E7"/>
    <w:multiLevelType w:val="multilevel"/>
    <w:tmpl w:val="643353E7"/>
    <w:lvl w:ilvl="0" w:tentative="0">
      <w:start w:val="1"/>
      <w:numFmt w:val="bullet"/>
      <w:lvlText w:val=""/>
      <w:lvlJc w:val="left"/>
      <w:pPr>
        <w:ind w:left="0" w:firstLine="0"/>
      </w:pPr>
      <w:rPr>
        <w:rFonts w:hint="default" w:ascii="Wingdings" w:hAnsi="Wingdings"/>
      </w:rPr>
    </w:lvl>
    <w:lvl w:ilvl="1" w:tentative="0">
      <w:start w:val="1"/>
      <w:numFmt w:val="bullet"/>
      <w:lvlText w:val=""/>
      <w:lvlJc w:val="left"/>
      <w:pPr>
        <w:ind w:left="1442" w:hanging="420"/>
      </w:pPr>
      <w:rPr>
        <w:rFonts w:hint="default" w:ascii="Wingdings" w:hAnsi="Wingdings"/>
      </w:rPr>
    </w:lvl>
    <w:lvl w:ilvl="2" w:tentative="0">
      <w:start w:val="1"/>
      <w:numFmt w:val="bullet"/>
      <w:lvlText w:val=""/>
      <w:lvlJc w:val="left"/>
      <w:pPr>
        <w:ind w:left="1862" w:hanging="420"/>
      </w:pPr>
      <w:rPr>
        <w:rFonts w:hint="default" w:ascii="Wingdings" w:hAnsi="Wingdings"/>
      </w:rPr>
    </w:lvl>
    <w:lvl w:ilvl="3" w:tentative="0">
      <w:start w:val="1"/>
      <w:numFmt w:val="bullet"/>
      <w:lvlText w:val=""/>
      <w:lvlJc w:val="left"/>
      <w:pPr>
        <w:ind w:left="2282" w:hanging="420"/>
      </w:pPr>
      <w:rPr>
        <w:rFonts w:hint="default" w:ascii="Wingdings" w:hAnsi="Wingdings"/>
      </w:rPr>
    </w:lvl>
    <w:lvl w:ilvl="4" w:tentative="0">
      <w:start w:val="1"/>
      <w:numFmt w:val="bullet"/>
      <w:lvlText w:val=""/>
      <w:lvlJc w:val="left"/>
      <w:pPr>
        <w:ind w:left="2702" w:hanging="420"/>
      </w:pPr>
      <w:rPr>
        <w:rFonts w:hint="default" w:ascii="Wingdings" w:hAnsi="Wingdings"/>
      </w:rPr>
    </w:lvl>
    <w:lvl w:ilvl="5" w:tentative="0">
      <w:start w:val="1"/>
      <w:numFmt w:val="bullet"/>
      <w:lvlText w:val=""/>
      <w:lvlJc w:val="left"/>
      <w:pPr>
        <w:ind w:left="3122" w:hanging="420"/>
      </w:pPr>
      <w:rPr>
        <w:rFonts w:hint="default" w:ascii="Wingdings" w:hAnsi="Wingdings"/>
      </w:rPr>
    </w:lvl>
    <w:lvl w:ilvl="6" w:tentative="0">
      <w:start w:val="1"/>
      <w:numFmt w:val="bullet"/>
      <w:lvlText w:val=""/>
      <w:lvlJc w:val="left"/>
      <w:pPr>
        <w:ind w:left="3542" w:hanging="420"/>
      </w:pPr>
      <w:rPr>
        <w:rFonts w:hint="default" w:ascii="Wingdings" w:hAnsi="Wingdings"/>
      </w:rPr>
    </w:lvl>
    <w:lvl w:ilvl="7" w:tentative="0">
      <w:start w:val="1"/>
      <w:numFmt w:val="bullet"/>
      <w:lvlText w:val=""/>
      <w:lvlJc w:val="left"/>
      <w:pPr>
        <w:ind w:left="3962" w:hanging="420"/>
      </w:pPr>
      <w:rPr>
        <w:rFonts w:hint="default" w:ascii="Wingdings" w:hAnsi="Wingdings"/>
      </w:rPr>
    </w:lvl>
    <w:lvl w:ilvl="8" w:tentative="0">
      <w:start w:val="1"/>
      <w:numFmt w:val="bullet"/>
      <w:lvlText w:val=""/>
      <w:lvlJc w:val="left"/>
      <w:pPr>
        <w:ind w:left="4382" w:hanging="420"/>
      </w:pPr>
      <w:rPr>
        <w:rFonts w:hint="default" w:ascii="Wingdings" w:hAnsi="Wingdings"/>
      </w:rPr>
    </w:lvl>
  </w:abstractNum>
  <w:abstractNum w:abstractNumId="1">
    <w:nsid w:val="777639EC"/>
    <w:multiLevelType w:val="multilevel"/>
    <w:tmpl w:val="777639EC"/>
    <w:lvl w:ilvl="0" w:tentative="0">
      <w:start w:val="1"/>
      <w:numFmt w:val="bullet"/>
      <w:lvlText w:val=""/>
      <w:lvlJc w:val="left"/>
      <w:pPr>
        <w:ind w:left="1020" w:hanging="420"/>
      </w:pPr>
      <w:rPr>
        <w:rFonts w:hint="default" w:ascii="Wingdings" w:hAnsi="Wingdings"/>
      </w:rPr>
    </w:lvl>
    <w:lvl w:ilvl="1" w:tentative="0">
      <w:start w:val="1"/>
      <w:numFmt w:val="bullet"/>
      <w:lvlText w:val=""/>
      <w:lvlJc w:val="left"/>
      <w:pPr>
        <w:ind w:left="1440" w:hanging="420"/>
      </w:pPr>
      <w:rPr>
        <w:rFonts w:hint="default" w:ascii="Wingdings" w:hAnsi="Wingdings"/>
      </w:rPr>
    </w:lvl>
    <w:lvl w:ilvl="2" w:tentative="0">
      <w:start w:val="1"/>
      <w:numFmt w:val="bullet"/>
      <w:lvlText w:val=""/>
      <w:lvlJc w:val="left"/>
      <w:pPr>
        <w:ind w:left="1860" w:hanging="420"/>
      </w:pPr>
      <w:rPr>
        <w:rFonts w:hint="default" w:ascii="Wingdings" w:hAnsi="Wingdings"/>
      </w:rPr>
    </w:lvl>
    <w:lvl w:ilvl="3" w:tentative="0">
      <w:start w:val="1"/>
      <w:numFmt w:val="bullet"/>
      <w:lvlText w:val=""/>
      <w:lvlJc w:val="left"/>
      <w:pPr>
        <w:ind w:left="2280" w:hanging="420"/>
      </w:pPr>
      <w:rPr>
        <w:rFonts w:hint="default" w:ascii="Wingdings" w:hAnsi="Wingdings"/>
      </w:rPr>
    </w:lvl>
    <w:lvl w:ilvl="4" w:tentative="0">
      <w:start w:val="1"/>
      <w:numFmt w:val="bullet"/>
      <w:lvlText w:val=""/>
      <w:lvlJc w:val="left"/>
      <w:pPr>
        <w:ind w:left="2700" w:hanging="420"/>
      </w:pPr>
      <w:rPr>
        <w:rFonts w:hint="default" w:ascii="Wingdings" w:hAnsi="Wingdings"/>
      </w:rPr>
    </w:lvl>
    <w:lvl w:ilvl="5" w:tentative="0">
      <w:start w:val="1"/>
      <w:numFmt w:val="bullet"/>
      <w:lvlText w:val=""/>
      <w:lvlJc w:val="left"/>
      <w:pPr>
        <w:ind w:left="3120" w:hanging="420"/>
      </w:pPr>
      <w:rPr>
        <w:rFonts w:hint="default" w:ascii="Wingdings" w:hAnsi="Wingdings"/>
      </w:rPr>
    </w:lvl>
    <w:lvl w:ilvl="6" w:tentative="0">
      <w:start w:val="1"/>
      <w:numFmt w:val="bullet"/>
      <w:lvlText w:val=""/>
      <w:lvlJc w:val="left"/>
      <w:pPr>
        <w:ind w:left="3540" w:hanging="420"/>
      </w:pPr>
      <w:rPr>
        <w:rFonts w:hint="default" w:ascii="Wingdings" w:hAnsi="Wingdings"/>
      </w:rPr>
    </w:lvl>
    <w:lvl w:ilvl="7" w:tentative="0">
      <w:start w:val="1"/>
      <w:numFmt w:val="bullet"/>
      <w:lvlText w:val=""/>
      <w:lvlJc w:val="left"/>
      <w:pPr>
        <w:ind w:left="3960" w:hanging="420"/>
      </w:pPr>
      <w:rPr>
        <w:rFonts w:hint="default" w:ascii="Wingdings" w:hAnsi="Wingdings"/>
      </w:rPr>
    </w:lvl>
    <w:lvl w:ilvl="8" w:tentative="0">
      <w:start w:val="1"/>
      <w:numFmt w:val="bullet"/>
      <w:lvlText w:val=""/>
      <w:lvlJc w:val="left"/>
      <w:pPr>
        <w:ind w:left="4380" w:hanging="420"/>
      </w:pPr>
      <w:rPr>
        <w:rFonts w:hint="default" w:ascii="Wingdings" w:hAnsi="Wingdings"/>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101">
    <w15:presenceInfo w15:providerId="None" w15:userId="user1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documentProtection w:enforcement="0"/>
  <w:defaultTabStop w:val="420"/>
  <w:drawingGridHorizontalSpacing w:val="140"/>
  <w:drawingGridVerticalSpacing w:val="381"/>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81A"/>
    <w:rsid w:val="0000038A"/>
    <w:rsid w:val="00000DFB"/>
    <w:rsid w:val="00001072"/>
    <w:rsid w:val="0000124A"/>
    <w:rsid w:val="00001274"/>
    <w:rsid w:val="000014A1"/>
    <w:rsid w:val="00001A93"/>
    <w:rsid w:val="00001B22"/>
    <w:rsid w:val="0000207F"/>
    <w:rsid w:val="00002400"/>
    <w:rsid w:val="00002FA0"/>
    <w:rsid w:val="000031DA"/>
    <w:rsid w:val="00003589"/>
    <w:rsid w:val="00003ADD"/>
    <w:rsid w:val="000046C2"/>
    <w:rsid w:val="00004A2C"/>
    <w:rsid w:val="00004E20"/>
    <w:rsid w:val="000051B6"/>
    <w:rsid w:val="0000527B"/>
    <w:rsid w:val="00005AD3"/>
    <w:rsid w:val="00005D91"/>
    <w:rsid w:val="000062B9"/>
    <w:rsid w:val="00006BF6"/>
    <w:rsid w:val="000076D9"/>
    <w:rsid w:val="0000786B"/>
    <w:rsid w:val="00007A08"/>
    <w:rsid w:val="00007CE3"/>
    <w:rsid w:val="00007DDC"/>
    <w:rsid w:val="0001005F"/>
    <w:rsid w:val="000104B6"/>
    <w:rsid w:val="000106FB"/>
    <w:rsid w:val="00010D83"/>
    <w:rsid w:val="00010DCC"/>
    <w:rsid w:val="00010DE6"/>
    <w:rsid w:val="00011774"/>
    <w:rsid w:val="00012375"/>
    <w:rsid w:val="000128CC"/>
    <w:rsid w:val="00012C43"/>
    <w:rsid w:val="00013460"/>
    <w:rsid w:val="0001372E"/>
    <w:rsid w:val="000137CD"/>
    <w:rsid w:val="00013A6E"/>
    <w:rsid w:val="00013C7F"/>
    <w:rsid w:val="00013E56"/>
    <w:rsid w:val="00014C55"/>
    <w:rsid w:val="00014E8F"/>
    <w:rsid w:val="00015052"/>
    <w:rsid w:val="00015200"/>
    <w:rsid w:val="00015965"/>
    <w:rsid w:val="00016727"/>
    <w:rsid w:val="00016CED"/>
    <w:rsid w:val="00017428"/>
    <w:rsid w:val="0002080A"/>
    <w:rsid w:val="00020F30"/>
    <w:rsid w:val="00021531"/>
    <w:rsid w:val="000215EF"/>
    <w:rsid w:val="000228C1"/>
    <w:rsid w:val="00023424"/>
    <w:rsid w:val="00024055"/>
    <w:rsid w:val="00024538"/>
    <w:rsid w:val="000246A2"/>
    <w:rsid w:val="000249C0"/>
    <w:rsid w:val="00024CA6"/>
    <w:rsid w:val="00025B94"/>
    <w:rsid w:val="000262B7"/>
    <w:rsid w:val="00026C86"/>
    <w:rsid w:val="00026FB8"/>
    <w:rsid w:val="00026FD1"/>
    <w:rsid w:val="00027069"/>
    <w:rsid w:val="00027785"/>
    <w:rsid w:val="000278AA"/>
    <w:rsid w:val="00030769"/>
    <w:rsid w:val="00030B69"/>
    <w:rsid w:val="00030C7C"/>
    <w:rsid w:val="00030E83"/>
    <w:rsid w:val="00031A77"/>
    <w:rsid w:val="00032212"/>
    <w:rsid w:val="00032920"/>
    <w:rsid w:val="00032B11"/>
    <w:rsid w:val="0003332A"/>
    <w:rsid w:val="000333D2"/>
    <w:rsid w:val="00033976"/>
    <w:rsid w:val="00033EAD"/>
    <w:rsid w:val="00034227"/>
    <w:rsid w:val="0003446C"/>
    <w:rsid w:val="00034B39"/>
    <w:rsid w:val="00035B0F"/>
    <w:rsid w:val="00035B37"/>
    <w:rsid w:val="00035EF8"/>
    <w:rsid w:val="00036035"/>
    <w:rsid w:val="00036133"/>
    <w:rsid w:val="00037551"/>
    <w:rsid w:val="00040079"/>
    <w:rsid w:val="00041022"/>
    <w:rsid w:val="00041255"/>
    <w:rsid w:val="0004152F"/>
    <w:rsid w:val="000418F9"/>
    <w:rsid w:val="00041E02"/>
    <w:rsid w:val="0004223F"/>
    <w:rsid w:val="00042392"/>
    <w:rsid w:val="0004248E"/>
    <w:rsid w:val="00042EC5"/>
    <w:rsid w:val="00043321"/>
    <w:rsid w:val="0004345F"/>
    <w:rsid w:val="00043934"/>
    <w:rsid w:val="00043A6F"/>
    <w:rsid w:val="000440D3"/>
    <w:rsid w:val="000444AF"/>
    <w:rsid w:val="000446B4"/>
    <w:rsid w:val="00044884"/>
    <w:rsid w:val="00044F5D"/>
    <w:rsid w:val="00045646"/>
    <w:rsid w:val="00045B09"/>
    <w:rsid w:val="00046442"/>
    <w:rsid w:val="0004650F"/>
    <w:rsid w:val="00046914"/>
    <w:rsid w:val="00046A4B"/>
    <w:rsid w:val="00047438"/>
    <w:rsid w:val="00047A2C"/>
    <w:rsid w:val="00047AC1"/>
    <w:rsid w:val="00047F4A"/>
    <w:rsid w:val="00050449"/>
    <w:rsid w:val="00050519"/>
    <w:rsid w:val="00050980"/>
    <w:rsid w:val="00050C1C"/>
    <w:rsid w:val="00051664"/>
    <w:rsid w:val="000518BE"/>
    <w:rsid w:val="00051B15"/>
    <w:rsid w:val="00051CC9"/>
    <w:rsid w:val="000522AC"/>
    <w:rsid w:val="000522E0"/>
    <w:rsid w:val="0005232B"/>
    <w:rsid w:val="00053019"/>
    <w:rsid w:val="000531B0"/>
    <w:rsid w:val="00053269"/>
    <w:rsid w:val="00053284"/>
    <w:rsid w:val="0005360A"/>
    <w:rsid w:val="000537A7"/>
    <w:rsid w:val="00053929"/>
    <w:rsid w:val="00053F48"/>
    <w:rsid w:val="00054398"/>
    <w:rsid w:val="000548B9"/>
    <w:rsid w:val="0005568F"/>
    <w:rsid w:val="000561CC"/>
    <w:rsid w:val="00056840"/>
    <w:rsid w:val="00056D9F"/>
    <w:rsid w:val="00056DEF"/>
    <w:rsid w:val="00056FAF"/>
    <w:rsid w:val="000604B0"/>
    <w:rsid w:val="000608F4"/>
    <w:rsid w:val="000612D4"/>
    <w:rsid w:val="00061866"/>
    <w:rsid w:val="000618E3"/>
    <w:rsid w:val="00061DBB"/>
    <w:rsid w:val="00061F2D"/>
    <w:rsid w:val="00062903"/>
    <w:rsid w:val="00062B36"/>
    <w:rsid w:val="00062C12"/>
    <w:rsid w:val="00063A76"/>
    <w:rsid w:val="00063BD3"/>
    <w:rsid w:val="000644AF"/>
    <w:rsid w:val="000645E2"/>
    <w:rsid w:val="00064DC9"/>
    <w:rsid w:val="00064DCD"/>
    <w:rsid w:val="000650AD"/>
    <w:rsid w:val="00065449"/>
    <w:rsid w:val="00065471"/>
    <w:rsid w:val="00065528"/>
    <w:rsid w:val="000656E6"/>
    <w:rsid w:val="00066BE4"/>
    <w:rsid w:val="00066D51"/>
    <w:rsid w:val="00070030"/>
    <w:rsid w:val="000708C7"/>
    <w:rsid w:val="00070AB9"/>
    <w:rsid w:val="00070FA3"/>
    <w:rsid w:val="000710BC"/>
    <w:rsid w:val="00071176"/>
    <w:rsid w:val="000711C5"/>
    <w:rsid w:val="000712EB"/>
    <w:rsid w:val="00071FB7"/>
    <w:rsid w:val="000720EF"/>
    <w:rsid w:val="00072401"/>
    <w:rsid w:val="00072E33"/>
    <w:rsid w:val="0007309F"/>
    <w:rsid w:val="0007342D"/>
    <w:rsid w:val="00073FC6"/>
    <w:rsid w:val="00074454"/>
    <w:rsid w:val="00074C9D"/>
    <w:rsid w:val="000753AF"/>
    <w:rsid w:val="00075DB5"/>
    <w:rsid w:val="00075F28"/>
    <w:rsid w:val="0007607C"/>
    <w:rsid w:val="0007666B"/>
    <w:rsid w:val="00076E5B"/>
    <w:rsid w:val="00077235"/>
    <w:rsid w:val="00080104"/>
    <w:rsid w:val="0008013E"/>
    <w:rsid w:val="000804B0"/>
    <w:rsid w:val="000809DA"/>
    <w:rsid w:val="00080F27"/>
    <w:rsid w:val="00080F51"/>
    <w:rsid w:val="000810A2"/>
    <w:rsid w:val="000816B5"/>
    <w:rsid w:val="00082509"/>
    <w:rsid w:val="000825D2"/>
    <w:rsid w:val="00082AF0"/>
    <w:rsid w:val="000832AE"/>
    <w:rsid w:val="00083EC6"/>
    <w:rsid w:val="00083F94"/>
    <w:rsid w:val="000843DA"/>
    <w:rsid w:val="000850B3"/>
    <w:rsid w:val="000855F7"/>
    <w:rsid w:val="000858CB"/>
    <w:rsid w:val="000859C4"/>
    <w:rsid w:val="00085C14"/>
    <w:rsid w:val="000866E5"/>
    <w:rsid w:val="00086B40"/>
    <w:rsid w:val="00086C9D"/>
    <w:rsid w:val="00086F41"/>
    <w:rsid w:val="00090763"/>
    <w:rsid w:val="00090C9D"/>
    <w:rsid w:val="00091655"/>
    <w:rsid w:val="00091A93"/>
    <w:rsid w:val="0009212A"/>
    <w:rsid w:val="00092992"/>
    <w:rsid w:val="000930E9"/>
    <w:rsid w:val="00093B68"/>
    <w:rsid w:val="00093B81"/>
    <w:rsid w:val="00093D73"/>
    <w:rsid w:val="00094148"/>
    <w:rsid w:val="00095188"/>
    <w:rsid w:val="000957DD"/>
    <w:rsid w:val="00095B28"/>
    <w:rsid w:val="00095C1A"/>
    <w:rsid w:val="0009687D"/>
    <w:rsid w:val="00097265"/>
    <w:rsid w:val="00097575"/>
    <w:rsid w:val="000975C4"/>
    <w:rsid w:val="00097C15"/>
    <w:rsid w:val="000A0832"/>
    <w:rsid w:val="000A096F"/>
    <w:rsid w:val="000A0F26"/>
    <w:rsid w:val="000A122B"/>
    <w:rsid w:val="000A2178"/>
    <w:rsid w:val="000A2C1B"/>
    <w:rsid w:val="000A3400"/>
    <w:rsid w:val="000A3876"/>
    <w:rsid w:val="000A44A9"/>
    <w:rsid w:val="000A4693"/>
    <w:rsid w:val="000A55AD"/>
    <w:rsid w:val="000A655B"/>
    <w:rsid w:val="000A6D75"/>
    <w:rsid w:val="000A7BB7"/>
    <w:rsid w:val="000A7E83"/>
    <w:rsid w:val="000A7ECC"/>
    <w:rsid w:val="000B026D"/>
    <w:rsid w:val="000B08CF"/>
    <w:rsid w:val="000B0A19"/>
    <w:rsid w:val="000B1177"/>
    <w:rsid w:val="000B1672"/>
    <w:rsid w:val="000B1AB8"/>
    <w:rsid w:val="000B25B9"/>
    <w:rsid w:val="000B25D0"/>
    <w:rsid w:val="000B273C"/>
    <w:rsid w:val="000B2B20"/>
    <w:rsid w:val="000B2BE0"/>
    <w:rsid w:val="000B2D33"/>
    <w:rsid w:val="000B2EAB"/>
    <w:rsid w:val="000B2EBA"/>
    <w:rsid w:val="000B3031"/>
    <w:rsid w:val="000B3BA8"/>
    <w:rsid w:val="000B4AA7"/>
    <w:rsid w:val="000B5284"/>
    <w:rsid w:val="000B5425"/>
    <w:rsid w:val="000B59B1"/>
    <w:rsid w:val="000B607D"/>
    <w:rsid w:val="000B6924"/>
    <w:rsid w:val="000B6BFF"/>
    <w:rsid w:val="000B706D"/>
    <w:rsid w:val="000B79CF"/>
    <w:rsid w:val="000B7A9B"/>
    <w:rsid w:val="000C00AD"/>
    <w:rsid w:val="000C0148"/>
    <w:rsid w:val="000C032E"/>
    <w:rsid w:val="000C13EF"/>
    <w:rsid w:val="000C2156"/>
    <w:rsid w:val="000C2AA2"/>
    <w:rsid w:val="000C2D5D"/>
    <w:rsid w:val="000C2E8E"/>
    <w:rsid w:val="000C2EA0"/>
    <w:rsid w:val="000C3075"/>
    <w:rsid w:val="000C3549"/>
    <w:rsid w:val="000C4101"/>
    <w:rsid w:val="000C4A4A"/>
    <w:rsid w:val="000C4B77"/>
    <w:rsid w:val="000C4E10"/>
    <w:rsid w:val="000C4E8F"/>
    <w:rsid w:val="000C5933"/>
    <w:rsid w:val="000C59FF"/>
    <w:rsid w:val="000C632D"/>
    <w:rsid w:val="000C6667"/>
    <w:rsid w:val="000C7871"/>
    <w:rsid w:val="000C7C5F"/>
    <w:rsid w:val="000C7D9A"/>
    <w:rsid w:val="000D0167"/>
    <w:rsid w:val="000D0515"/>
    <w:rsid w:val="000D1A01"/>
    <w:rsid w:val="000D1CCF"/>
    <w:rsid w:val="000D2694"/>
    <w:rsid w:val="000D2792"/>
    <w:rsid w:val="000D2854"/>
    <w:rsid w:val="000D3420"/>
    <w:rsid w:val="000D37EC"/>
    <w:rsid w:val="000D391D"/>
    <w:rsid w:val="000D3D29"/>
    <w:rsid w:val="000D3E9A"/>
    <w:rsid w:val="000D4BA2"/>
    <w:rsid w:val="000D4FF3"/>
    <w:rsid w:val="000D53DE"/>
    <w:rsid w:val="000D5567"/>
    <w:rsid w:val="000D57D5"/>
    <w:rsid w:val="000D58E3"/>
    <w:rsid w:val="000D5A4E"/>
    <w:rsid w:val="000D5F82"/>
    <w:rsid w:val="000D60B6"/>
    <w:rsid w:val="000D64A3"/>
    <w:rsid w:val="000D6D9D"/>
    <w:rsid w:val="000D6F09"/>
    <w:rsid w:val="000E0828"/>
    <w:rsid w:val="000E08A1"/>
    <w:rsid w:val="000E14A2"/>
    <w:rsid w:val="000E157F"/>
    <w:rsid w:val="000E1662"/>
    <w:rsid w:val="000E17E5"/>
    <w:rsid w:val="000E1CC1"/>
    <w:rsid w:val="000E1F2C"/>
    <w:rsid w:val="000E30BF"/>
    <w:rsid w:val="000E34D1"/>
    <w:rsid w:val="000E3AB0"/>
    <w:rsid w:val="000E3B5C"/>
    <w:rsid w:val="000E3C5C"/>
    <w:rsid w:val="000E3E55"/>
    <w:rsid w:val="000E40A0"/>
    <w:rsid w:val="000E4298"/>
    <w:rsid w:val="000E473E"/>
    <w:rsid w:val="000E47AF"/>
    <w:rsid w:val="000E4A8B"/>
    <w:rsid w:val="000E4F83"/>
    <w:rsid w:val="000E5642"/>
    <w:rsid w:val="000E606F"/>
    <w:rsid w:val="000E6C02"/>
    <w:rsid w:val="000F030D"/>
    <w:rsid w:val="000F0C0A"/>
    <w:rsid w:val="000F0CF0"/>
    <w:rsid w:val="000F11DE"/>
    <w:rsid w:val="000F120A"/>
    <w:rsid w:val="000F1912"/>
    <w:rsid w:val="000F1914"/>
    <w:rsid w:val="000F2460"/>
    <w:rsid w:val="000F305A"/>
    <w:rsid w:val="000F3C8A"/>
    <w:rsid w:val="000F3CBE"/>
    <w:rsid w:val="000F43E6"/>
    <w:rsid w:val="000F481F"/>
    <w:rsid w:val="000F4EFC"/>
    <w:rsid w:val="000F4EFF"/>
    <w:rsid w:val="000F4FB1"/>
    <w:rsid w:val="000F524F"/>
    <w:rsid w:val="000F533D"/>
    <w:rsid w:val="000F5573"/>
    <w:rsid w:val="000F5C39"/>
    <w:rsid w:val="000F5F65"/>
    <w:rsid w:val="000F61A7"/>
    <w:rsid w:val="000F6EF6"/>
    <w:rsid w:val="000F70C4"/>
    <w:rsid w:val="000F72E8"/>
    <w:rsid w:val="001003EA"/>
    <w:rsid w:val="0010051C"/>
    <w:rsid w:val="00100914"/>
    <w:rsid w:val="00101A9C"/>
    <w:rsid w:val="00102012"/>
    <w:rsid w:val="00102026"/>
    <w:rsid w:val="0010212A"/>
    <w:rsid w:val="00103260"/>
    <w:rsid w:val="001036FA"/>
    <w:rsid w:val="00103833"/>
    <w:rsid w:val="00105C53"/>
    <w:rsid w:val="00105D2C"/>
    <w:rsid w:val="00105F8F"/>
    <w:rsid w:val="0010649B"/>
    <w:rsid w:val="001066AA"/>
    <w:rsid w:val="00106C25"/>
    <w:rsid w:val="00107212"/>
    <w:rsid w:val="00107787"/>
    <w:rsid w:val="00107D7F"/>
    <w:rsid w:val="00110188"/>
    <w:rsid w:val="0011097E"/>
    <w:rsid w:val="001109B0"/>
    <w:rsid w:val="00111C5B"/>
    <w:rsid w:val="001123AB"/>
    <w:rsid w:val="00112C20"/>
    <w:rsid w:val="00112D1E"/>
    <w:rsid w:val="00112D6E"/>
    <w:rsid w:val="00112EDB"/>
    <w:rsid w:val="001131A4"/>
    <w:rsid w:val="001131E1"/>
    <w:rsid w:val="001132C2"/>
    <w:rsid w:val="00113DF3"/>
    <w:rsid w:val="00113FA3"/>
    <w:rsid w:val="00114B84"/>
    <w:rsid w:val="00114FBE"/>
    <w:rsid w:val="00115127"/>
    <w:rsid w:val="00115424"/>
    <w:rsid w:val="001157C5"/>
    <w:rsid w:val="001166A0"/>
    <w:rsid w:val="001166DB"/>
    <w:rsid w:val="001166FE"/>
    <w:rsid w:val="00116D09"/>
    <w:rsid w:val="00116E81"/>
    <w:rsid w:val="00117B0F"/>
    <w:rsid w:val="00117B3F"/>
    <w:rsid w:val="00117FBE"/>
    <w:rsid w:val="00120195"/>
    <w:rsid w:val="00120948"/>
    <w:rsid w:val="00120B82"/>
    <w:rsid w:val="00120DD9"/>
    <w:rsid w:val="00120DFA"/>
    <w:rsid w:val="00121353"/>
    <w:rsid w:val="00121877"/>
    <w:rsid w:val="00122CF0"/>
    <w:rsid w:val="00122F30"/>
    <w:rsid w:val="00123056"/>
    <w:rsid w:val="00123644"/>
    <w:rsid w:val="001239D0"/>
    <w:rsid w:val="00123E93"/>
    <w:rsid w:val="001250DF"/>
    <w:rsid w:val="00125C1E"/>
    <w:rsid w:val="001261E4"/>
    <w:rsid w:val="0012620B"/>
    <w:rsid w:val="001263D7"/>
    <w:rsid w:val="001263F5"/>
    <w:rsid w:val="001268D8"/>
    <w:rsid w:val="00126B00"/>
    <w:rsid w:val="00127B98"/>
    <w:rsid w:val="00127C85"/>
    <w:rsid w:val="00130161"/>
    <w:rsid w:val="001304DE"/>
    <w:rsid w:val="001305A7"/>
    <w:rsid w:val="00130BD5"/>
    <w:rsid w:val="00130D1D"/>
    <w:rsid w:val="001314E9"/>
    <w:rsid w:val="00131F06"/>
    <w:rsid w:val="00131FBE"/>
    <w:rsid w:val="00132641"/>
    <w:rsid w:val="00132FC3"/>
    <w:rsid w:val="0013477F"/>
    <w:rsid w:val="001359FF"/>
    <w:rsid w:val="00135C43"/>
    <w:rsid w:val="00135EF7"/>
    <w:rsid w:val="001360A0"/>
    <w:rsid w:val="001361B6"/>
    <w:rsid w:val="0013673D"/>
    <w:rsid w:val="00137BB6"/>
    <w:rsid w:val="00137C78"/>
    <w:rsid w:val="00137E19"/>
    <w:rsid w:val="00140159"/>
    <w:rsid w:val="00140591"/>
    <w:rsid w:val="001405D0"/>
    <w:rsid w:val="0014086B"/>
    <w:rsid w:val="001409B3"/>
    <w:rsid w:val="00140A27"/>
    <w:rsid w:val="00141346"/>
    <w:rsid w:val="0014140D"/>
    <w:rsid w:val="00141D3F"/>
    <w:rsid w:val="00142BAA"/>
    <w:rsid w:val="00142F37"/>
    <w:rsid w:val="00143875"/>
    <w:rsid w:val="00143C8F"/>
    <w:rsid w:val="00143D7D"/>
    <w:rsid w:val="00143FF1"/>
    <w:rsid w:val="00144E10"/>
    <w:rsid w:val="00144FA9"/>
    <w:rsid w:val="001455E2"/>
    <w:rsid w:val="00145629"/>
    <w:rsid w:val="00145BBB"/>
    <w:rsid w:val="00146BF7"/>
    <w:rsid w:val="00147F53"/>
    <w:rsid w:val="00147FD1"/>
    <w:rsid w:val="00150623"/>
    <w:rsid w:val="001518B5"/>
    <w:rsid w:val="00151AC0"/>
    <w:rsid w:val="00151C0B"/>
    <w:rsid w:val="00151E11"/>
    <w:rsid w:val="001521EE"/>
    <w:rsid w:val="00152C38"/>
    <w:rsid w:val="00152D23"/>
    <w:rsid w:val="001534D4"/>
    <w:rsid w:val="0015455F"/>
    <w:rsid w:val="001546A7"/>
    <w:rsid w:val="00154B71"/>
    <w:rsid w:val="00154DF3"/>
    <w:rsid w:val="00155144"/>
    <w:rsid w:val="00155417"/>
    <w:rsid w:val="001554C9"/>
    <w:rsid w:val="001554FF"/>
    <w:rsid w:val="00155D00"/>
    <w:rsid w:val="00155FF9"/>
    <w:rsid w:val="00156B78"/>
    <w:rsid w:val="00157350"/>
    <w:rsid w:val="001575D7"/>
    <w:rsid w:val="00157800"/>
    <w:rsid w:val="00157AA2"/>
    <w:rsid w:val="00157D99"/>
    <w:rsid w:val="00160724"/>
    <w:rsid w:val="00160CF3"/>
    <w:rsid w:val="00160F2B"/>
    <w:rsid w:val="00161333"/>
    <w:rsid w:val="001613A8"/>
    <w:rsid w:val="00161411"/>
    <w:rsid w:val="0016144D"/>
    <w:rsid w:val="0016165A"/>
    <w:rsid w:val="0016199C"/>
    <w:rsid w:val="001625A0"/>
    <w:rsid w:val="001632E2"/>
    <w:rsid w:val="00163368"/>
    <w:rsid w:val="00163602"/>
    <w:rsid w:val="00163773"/>
    <w:rsid w:val="00164326"/>
    <w:rsid w:val="00164453"/>
    <w:rsid w:val="00164524"/>
    <w:rsid w:val="00164A63"/>
    <w:rsid w:val="00164BD1"/>
    <w:rsid w:val="00164BF6"/>
    <w:rsid w:val="001652A3"/>
    <w:rsid w:val="001656BC"/>
    <w:rsid w:val="0016643D"/>
    <w:rsid w:val="001665D9"/>
    <w:rsid w:val="00166FBA"/>
    <w:rsid w:val="00170010"/>
    <w:rsid w:val="001700E1"/>
    <w:rsid w:val="00170153"/>
    <w:rsid w:val="001707A3"/>
    <w:rsid w:val="001709E3"/>
    <w:rsid w:val="001710B1"/>
    <w:rsid w:val="00171168"/>
    <w:rsid w:val="00171B84"/>
    <w:rsid w:val="00171CF0"/>
    <w:rsid w:val="00171EED"/>
    <w:rsid w:val="00171FF3"/>
    <w:rsid w:val="00172027"/>
    <w:rsid w:val="00172766"/>
    <w:rsid w:val="00173141"/>
    <w:rsid w:val="00173A50"/>
    <w:rsid w:val="00173A9C"/>
    <w:rsid w:val="00174076"/>
    <w:rsid w:val="00174EF4"/>
    <w:rsid w:val="001756B8"/>
    <w:rsid w:val="001763B9"/>
    <w:rsid w:val="0017643E"/>
    <w:rsid w:val="0017667A"/>
    <w:rsid w:val="00176C67"/>
    <w:rsid w:val="00176F10"/>
    <w:rsid w:val="001771BF"/>
    <w:rsid w:val="001777FF"/>
    <w:rsid w:val="00177AC1"/>
    <w:rsid w:val="00177E97"/>
    <w:rsid w:val="00180399"/>
    <w:rsid w:val="001805BA"/>
    <w:rsid w:val="00180905"/>
    <w:rsid w:val="00181200"/>
    <w:rsid w:val="00181444"/>
    <w:rsid w:val="00181F6C"/>
    <w:rsid w:val="0018211C"/>
    <w:rsid w:val="001827DD"/>
    <w:rsid w:val="00182F7C"/>
    <w:rsid w:val="0018341D"/>
    <w:rsid w:val="0018370B"/>
    <w:rsid w:val="00183F8E"/>
    <w:rsid w:val="001847F8"/>
    <w:rsid w:val="00185425"/>
    <w:rsid w:val="0018543C"/>
    <w:rsid w:val="00185B9A"/>
    <w:rsid w:val="0018673D"/>
    <w:rsid w:val="001872C9"/>
    <w:rsid w:val="001875D3"/>
    <w:rsid w:val="0018796A"/>
    <w:rsid w:val="00187974"/>
    <w:rsid w:val="00190726"/>
    <w:rsid w:val="001907EB"/>
    <w:rsid w:val="00190B56"/>
    <w:rsid w:val="00190C9A"/>
    <w:rsid w:val="0019163C"/>
    <w:rsid w:val="00191A44"/>
    <w:rsid w:val="00191AD1"/>
    <w:rsid w:val="00191C2F"/>
    <w:rsid w:val="00191C6E"/>
    <w:rsid w:val="00191DCD"/>
    <w:rsid w:val="00192078"/>
    <w:rsid w:val="001920CA"/>
    <w:rsid w:val="00193F64"/>
    <w:rsid w:val="001948EA"/>
    <w:rsid w:val="00194FE0"/>
    <w:rsid w:val="00195332"/>
    <w:rsid w:val="00195B70"/>
    <w:rsid w:val="00195E8F"/>
    <w:rsid w:val="0019632D"/>
    <w:rsid w:val="00196604"/>
    <w:rsid w:val="00196B8F"/>
    <w:rsid w:val="00197175"/>
    <w:rsid w:val="00197497"/>
    <w:rsid w:val="0019769A"/>
    <w:rsid w:val="00197880"/>
    <w:rsid w:val="001A00F9"/>
    <w:rsid w:val="001A032F"/>
    <w:rsid w:val="001A0D1E"/>
    <w:rsid w:val="001A163E"/>
    <w:rsid w:val="001A1BD6"/>
    <w:rsid w:val="001A2931"/>
    <w:rsid w:val="001A2F14"/>
    <w:rsid w:val="001A3104"/>
    <w:rsid w:val="001A3129"/>
    <w:rsid w:val="001A3DC0"/>
    <w:rsid w:val="001A46BF"/>
    <w:rsid w:val="001A4943"/>
    <w:rsid w:val="001A5B1E"/>
    <w:rsid w:val="001A63D4"/>
    <w:rsid w:val="001A6EB9"/>
    <w:rsid w:val="001A7065"/>
    <w:rsid w:val="001B0377"/>
    <w:rsid w:val="001B159D"/>
    <w:rsid w:val="001B17ED"/>
    <w:rsid w:val="001B318F"/>
    <w:rsid w:val="001B3C0B"/>
    <w:rsid w:val="001B3EB0"/>
    <w:rsid w:val="001B4160"/>
    <w:rsid w:val="001B4639"/>
    <w:rsid w:val="001B5423"/>
    <w:rsid w:val="001B60F4"/>
    <w:rsid w:val="001B654F"/>
    <w:rsid w:val="001B6EED"/>
    <w:rsid w:val="001B6F1B"/>
    <w:rsid w:val="001B71EC"/>
    <w:rsid w:val="001B7CCA"/>
    <w:rsid w:val="001C01F2"/>
    <w:rsid w:val="001C0AAA"/>
    <w:rsid w:val="001C122F"/>
    <w:rsid w:val="001C167D"/>
    <w:rsid w:val="001C1C9F"/>
    <w:rsid w:val="001C1E0E"/>
    <w:rsid w:val="001C2D87"/>
    <w:rsid w:val="001C3299"/>
    <w:rsid w:val="001C3306"/>
    <w:rsid w:val="001C383C"/>
    <w:rsid w:val="001C3A0A"/>
    <w:rsid w:val="001C4058"/>
    <w:rsid w:val="001C41BD"/>
    <w:rsid w:val="001C4900"/>
    <w:rsid w:val="001C4B6D"/>
    <w:rsid w:val="001C4C06"/>
    <w:rsid w:val="001C4CED"/>
    <w:rsid w:val="001C4D11"/>
    <w:rsid w:val="001C5264"/>
    <w:rsid w:val="001C52E8"/>
    <w:rsid w:val="001C587A"/>
    <w:rsid w:val="001C6139"/>
    <w:rsid w:val="001C7EA2"/>
    <w:rsid w:val="001C7EF5"/>
    <w:rsid w:val="001D02BE"/>
    <w:rsid w:val="001D07EC"/>
    <w:rsid w:val="001D10B6"/>
    <w:rsid w:val="001D157D"/>
    <w:rsid w:val="001D22BB"/>
    <w:rsid w:val="001D2CD8"/>
    <w:rsid w:val="001D325D"/>
    <w:rsid w:val="001D3B3E"/>
    <w:rsid w:val="001D3C06"/>
    <w:rsid w:val="001D406D"/>
    <w:rsid w:val="001D40AB"/>
    <w:rsid w:val="001D45B3"/>
    <w:rsid w:val="001D461F"/>
    <w:rsid w:val="001D4809"/>
    <w:rsid w:val="001D48A3"/>
    <w:rsid w:val="001D4BDA"/>
    <w:rsid w:val="001D4D6B"/>
    <w:rsid w:val="001D5505"/>
    <w:rsid w:val="001D557A"/>
    <w:rsid w:val="001D58BB"/>
    <w:rsid w:val="001D5A4C"/>
    <w:rsid w:val="001D6588"/>
    <w:rsid w:val="001D694A"/>
    <w:rsid w:val="001D7ABB"/>
    <w:rsid w:val="001D7CA2"/>
    <w:rsid w:val="001D7F71"/>
    <w:rsid w:val="001E06A0"/>
    <w:rsid w:val="001E0808"/>
    <w:rsid w:val="001E08C1"/>
    <w:rsid w:val="001E0BC1"/>
    <w:rsid w:val="001E0DFA"/>
    <w:rsid w:val="001E1468"/>
    <w:rsid w:val="001E18A0"/>
    <w:rsid w:val="001E195F"/>
    <w:rsid w:val="001E19DC"/>
    <w:rsid w:val="001E2079"/>
    <w:rsid w:val="001E24AF"/>
    <w:rsid w:val="001E2758"/>
    <w:rsid w:val="001E2E56"/>
    <w:rsid w:val="001E2F67"/>
    <w:rsid w:val="001E3079"/>
    <w:rsid w:val="001E4213"/>
    <w:rsid w:val="001E4557"/>
    <w:rsid w:val="001E4942"/>
    <w:rsid w:val="001E4A78"/>
    <w:rsid w:val="001E56F8"/>
    <w:rsid w:val="001E5A4D"/>
    <w:rsid w:val="001E5AD9"/>
    <w:rsid w:val="001E5DCD"/>
    <w:rsid w:val="001E604F"/>
    <w:rsid w:val="001E65F6"/>
    <w:rsid w:val="001E6647"/>
    <w:rsid w:val="001E6CCE"/>
    <w:rsid w:val="001E6D60"/>
    <w:rsid w:val="001E7104"/>
    <w:rsid w:val="001E72AD"/>
    <w:rsid w:val="001E7B0B"/>
    <w:rsid w:val="001E7CB0"/>
    <w:rsid w:val="001F0003"/>
    <w:rsid w:val="001F0FEC"/>
    <w:rsid w:val="001F122F"/>
    <w:rsid w:val="001F1E44"/>
    <w:rsid w:val="001F2292"/>
    <w:rsid w:val="001F22A4"/>
    <w:rsid w:val="001F2491"/>
    <w:rsid w:val="001F3212"/>
    <w:rsid w:val="001F3333"/>
    <w:rsid w:val="001F36E7"/>
    <w:rsid w:val="001F36EC"/>
    <w:rsid w:val="001F38B7"/>
    <w:rsid w:val="001F3E50"/>
    <w:rsid w:val="001F4E05"/>
    <w:rsid w:val="001F53AF"/>
    <w:rsid w:val="001F5418"/>
    <w:rsid w:val="001F5B8B"/>
    <w:rsid w:val="001F5EAE"/>
    <w:rsid w:val="001F6456"/>
    <w:rsid w:val="001F65AB"/>
    <w:rsid w:val="001F79BF"/>
    <w:rsid w:val="00200172"/>
    <w:rsid w:val="002007D2"/>
    <w:rsid w:val="0020080D"/>
    <w:rsid w:val="00200E5F"/>
    <w:rsid w:val="0020121E"/>
    <w:rsid w:val="00201BE1"/>
    <w:rsid w:val="00201DBD"/>
    <w:rsid w:val="00201EF5"/>
    <w:rsid w:val="00201F9D"/>
    <w:rsid w:val="002026EA"/>
    <w:rsid w:val="00203015"/>
    <w:rsid w:val="00203216"/>
    <w:rsid w:val="0020354F"/>
    <w:rsid w:val="00203E27"/>
    <w:rsid w:val="00204D7A"/>
    <w:rsid w:val="00205AE5"/>
    <w:rsid w:val="002063BE"/>
    <w:rsid w:val="002064E2"/>
    <w:rsid w:val="002070FA"/>
    <w:rsid w:val="00207991"/>
    <w:rsid w:val="00210383"/>
    <w:rsid w:val="00210825"/>
    <w:rsid w:val="00210C80"/>
    <w:rsid w:val="00210CE3"/>
    <w:rsid w:val="002110D2"/>
    <w:rsid w:val="002116EC"/>
    <w:rsid w:val="0021280E"/>
    <w:rsid w:val="0021325D"/>
    <w:rsid w:val="00213462"/>
    <w:rsid w:val="0021376A"/>
    <w:rsid w:val="00213F82"/>
    <w:rsid w:val="0021427A"/>
    <w:rsid w:val="00214288"/>
    <w:rsid w:val="00214316"/>
    <w:rsid w:val="00214364"/>
    <w:rsid w:val="00214618"/>
    <w:rsid w:val="002146AE"/>
    <w:rsid w:val="00215967"/>
    <w:rsid w:val="00215C8F"/>
    <w:rsid w:val="002160AE"/>
    <w:rsid w:val="0021622F"/>
    <w:rsid w:val="002170EC"/>
    <w:rsid w:val="00217397"/>
    <w:rsid w:val="002173CA"/>
    <w:rsid w:val="0021744B"/>
    <w:rsid w:val="002205A2"/>
    <w:rsid w:val="00220D5D"/>
    <w:rsid w:val="002219D1"/>
    <w:rsid w:val="00221B63"/>
    <w:rsid w:val="00222806"/>
    <w:rsid w:val="00224013"/>
    <w:rsid w:val="002250F2"/>
    <w:rsid w:val="00225EBB"/>
    <w:rsid w:val="002260F6"/>
    <w:rsid w:val="002270E3"/>
    <w:rsid w:val="00227CEE"/>
    <w:rsid w:val="002301EA"/>
    <w:rsid w:val="002302AC"/>
    <w:rsid w:val="0023084A"/>
    <w:rsid w:val="002314AA"/>
    <w:rsid w:val="002314AF"/>
    <w:rsid w:val="0023175F"/>
    <w:rsid w:val="0023198E"/>
    <w:rsid w:val="00231E17"/>
    <w:rsid w:val="00232019"/>
    <w:rsid w:val="0023371B"/>
    <w:rsid w:val="002338DF"/>
    <w:rsid w:val="002339CC"/>
    <w:rsid w:val="00234468"/>
    <w:rsid w:val="00234CAC"/>
    <w:rsid w:val="00235359"/>
    <w:rsid w:val="002357F3"/>
    <w:rsid w:val="00235F6D"/>
    <w:rsid w:val="002367E7"/>
    <w:rsid w:val="002369F8"/>
    <w:rsid w:val="00236B5B"/>
    <w:rsid w:val="002375D8"/>
    <w:rsid w:val="00237DF0"/>
    <w:rsid w:val="00240399"/>
    <w:rsid w:val="002407AF"/>
    <w:rsid w:val="0024147D"/>
    <w:rsid w:val="00241912"/>
    <w:rsid w:val="0024267C"/>
    <w:rsid w:val="00242882"/>
    <w:rsid w:val="00242BB7"/>
    <w:rsid w:val="00242CAE"/>
    <w:rsid w:val="00242CEC"/>
    <w:rsid w:val="00243583"/>
    <w:rsid w:val="00244DCC"/>
    <w:rsid w:val="0024513D"/>
    <w:rsid w:val="002452A1"/>
    <w:rsid w:val="002455FD"/>
    <w:rsid w:val="002458AD"/>
    <w:rsid w:val="00245B44"/>
    <w:rsid w:val="0024710B"/>
    <w:rsid w:val="00247A99"/>
    <w:rsid w:val="002508EA"/>
    <w:rsid w:val="00250BF6"/>
    <w:rsid w:val="00250E1F"/>
    <w:rsid w:val="00250FF2"/>
    <w:rsid w:val="00251399"/>
    <w:rsid w:val="00251813"/>
    <w:rsid w:val="00251BC3"/>
    <w:rsid w:val="00252599"/>
    <w:rsid w:val="00252AC8"/>
    <w:rsid w:val="0025378E"/>
    <w:rsid w:val="00253B6C"/>
    <w:rsid w:val="00254098"/>
    <w:rsid w:val="00254298"/>
    <w:rsid w:val="0025470C"/>
    <w:rsid w:val="0025471B"/>
    <w:rsid w:val="002547FB"/>
    <w:rsid w:val="0025486A"/>
    <w:rsid w:val="00254D4E"/>
    <w:rsid w:val="00254E71"/>
    <w:rsid w:val="00255003"/>
    <w:rsid w:val="0025500F"/>
    <w:rsid w:val="002553E8"/>
    <w:rsid w:val="002555C5"/>
    <w:rsid w:val="0025587A"/>
    <w:rsid w:val="00255AA1"/>
    <w:rsid w:val="0025651C"/>
    <w:rsid w:val="00256767"/>
    <w:rsid w:val="00256B5E"/>
    <w:rsid w:val="00256B7F"/>
    <w:rsid w:val="00256BEC"/>
    <w:rsid w:val="00256CB8"/>
    <w:rsid w:val="00256D21"/>
    <w:rsid w:val="002573EF"/>
    <w:rsid w:val="00257861"/>
    <w:rsid w:val="00261C22"/>
    <w:rsid w:val="002620DD"/>
    <w:rsid w:val="0026256F"/>
    <w:rsid w:val="002627D7"/>
    <w:rsid w:val="00262ACD"/>
    <w:rsid w:val="00262E77"/>
    <w:rsid w:val="00263763"/>
    <w:rsid w:val="00263C26"/>
    <w:rsid w:val="00263F6F"/>
    <w:rsid w:val="00263FA8"/>
    <w:rsid w:val="002644BF"/>
    <w:rsid w:val="002647C7"/>
    <w:rsid w:val="00264F94"/>
    <w:rsid w:val="00265491"/>
    <w:rsid w:val="0026559B"/>
    <w:rsid w:val="00265603"/>
    <w:rsid w:val="00265845"/>
    <w:rsid w:val="0026589B"/>
    <w:rsid w:val="002658A9"/>
    <w:rsid w:val="00265BD2"/>
    <w:rsid w:val="002661C2"/>
    <w:rsid w:val="00266520"/>
    <w:rsid w:val="00266E89"/>
    <w:rsid w:val="0026763A"/>
    <w:rsid w:val="00267687"/>
    <w:rsid w:val="002700E6"/>
    <w:rsid w:val="00271310"/>
    <w:rsid w:val="00271408"/>
    <w:rsid w:val="00271CC9"/>
    <w:rsid w:val="00271F89"/>
    <w:rsid w:val="0027212A"/>
    <w:rsid w:val="0027214E"/>
    <w:rsid w:val="0027258F"/>
    <w:rsid w:val="00272748"/>
    <w:rsid w:val="00272CD5"/>
    <w:rsid w:val="00274154"/>
    <w:rsid w:val="00274596"/>
    <w:rsid w:val="002745F7"/>
    <w:rsid w:val="002746BD"/>
    <w:rsid w:val="00274814"/>
    <w:rsid w:val="00274A0E"/>
    <w:rsid w:val="00274A2B"/>
    <w:rsid w:val="00274CF9"/>
    <w:rsid w:val="00274F95"/>
    <w:rsid w:val="0027565F"/>
    <w:rsid w:val="00275D2E"/>
    <w:rsid w:val="002769E5"/>
    <w:rsid w:val="00276ABE"/>
    <w:rsid w:val="00276D01"/>
    <w:rsid w:val="002776CB"/>
    <w:rsid w:val="002776DC"/>
    <w:rsid w:val="00277A9B"/>
    <w:rsid w:val="002802CC"/>
    <w:rsid w:val="00280676"/>
    <w:rsid w:val="002807E6"/>
    <w:rsid w:val="00280BA6"/>
    <w:rsid w:val="00280D6F"/>
    <w:rsid w:val="00280FAE"/>
    <w:rsid w:val="002811AA"/>
    <w:rsid w:val="002819F4"/>
    <w:rsid w:val="00281F3A"/>
    <w:rsid w:val="002823E1"/>
    <w:rsid w:val="002829A3"/>
    <w:rsid w:val="00282B64"/>
    <w:rsid w:val="00282C75"/>
    <w:rsid w:val="00282E4B"/>
    <w:rsid w:val="00283315"/>
    <w:rsid w:val="00283569"/>
    <w:rsid w:val="00283718"/>
    <w:rsid w:val="00283B3B"/>
    <w:rsid w:val="00283E96"/>
    <w:rsid w:val="002844FE"/>
    <w:rsid w:val="00284557"/>
    <w:rsid w:val="00284783"/>
    <w:rsid w:val="00284A55"/>
    <w:rsid w:val="00285861"/>
    <w:rsid w:val="00285FDE"/>
    <w:rsid w:val="00286520"/>
    <w:rsid w:val="002871A5"/>
    <w:rsid w:val="002872ED"/>
    <w:rsid w:val="00287316"/>
    <w:rsid w:val="0028749A"/>
    <w:rsid w:val="002878A0"/>
    <w:rsid w:val="00287F42"/>
    <w:rsid w:val="0029002C"/>
    <w:rsid w:val="00290913"/>
    <w:rsid w:val="00290AE5"/>
    <w:rsid w:val="0029122A"/>
    <w:rsid w:val="00291572"/>
    <w:rsid w:val="002917B7"/>
    <w:rsid w:val="00291E5F"/>
    <w:rsid w:val="0029266B"/>
    <w:rsid w:val="002935A6"/>
    <w:rsid w:val="002936A6"/>
    <w:rsid w:val="00293A41"/>
    <w:rsid w:val="002944B1"/>
    <w:rsid w:val="002948FB"/>
    <w:rsid w:val="0029491B"/>
    <w:rsid w:val="00295561"/>
    <w:rsid w:val="00295733"/>
    <w:rsid w:val="00295BF5"/>
    <w:rsid w:val="002965CF"/>
    <w:rsid w:val="0029670A"/>
    <w:rsid w:val="0029673F"/>
    <w:rsid w:val="00296C26"/>
    <w:rsid w:val="00296D1E"/>
    <w:rsid w:val="00297136"/>
    <w:rsid w:val="00297DFB"/>
    <w:rsid w:val="002A0AFE"/>
    <w:rsid w:val="002A164E"/>
    <w:rsid w:val="002A1B9E"/>
    <w:rsid w:val="002A1D28"/>
    <w:rsid w:val="002A2061"/>
    <w:rsid w:val="002A27F8"/>
    <w:rsid w:val="002A2B4A"/>
    <w:rsid w:val="002A2C82"/>
    <w:rsid w:val="002A2DFF"/>
    <w:rsid w:val="002A2FD0"/>
    <w:rsid w:val="002A3451"/>
    <w:rsid w:val="002A37CB"/>
    <w:rsid w:val="002A3B60"/>
    <w:rsid w:val="002A3EC1"/>
    <w:rsid w:val="002A4626"/>
    <w:rsid w:val="002A4C1C"/>
    <w:rsid w:val="002A4C90"/>
    <w:rsid w:val="002A5158"/>
    <w:rsid w:val="002A552D"/>
    <w:rsid w:val="002A5673"/>
    <w:rsid w:val="002A5A3F"/>
    <w:rsid w:val="002A5CD1"/>
    <w:rsid w:val="002A61DC"/>
    <w:rsid w:val="002A6304"/>
    <w:rsid w:val="002A63C6"/>
    <w:rsid w:val="002A6AF1"/>
    <w:rsid w:val="002A6CED"/>
    <w:rsid w:val="002A6F2B"/>
    <w:rsid w:val="002A7141"/>
    <w:rsid w:val="002A7931"/>
    <w:rsid w:val="002A79B5"/>
    <w:rsid w:val="002A7FD4"/>
    <w:rsid w:val="002B01B0"/>
    <w:rsid w:val="002B02CC"/>
    <w:rsid w:val="002B0FAF"/>
    <w:rsid w:val="002B1278"/>
    <w:rsid w:val="002B13CB"/>
    <w:rsid w:val="002B14C4"/>
    <w:rsid w:val="002B174A"/>
    <w:rsid w:val="002B2497"/>
    <w:rsid w:val="002B27C9"/>
    <w:rsid w:val="002B2A72"/>
    <w:rsid w:val="002B2F00"/>
    <w:rsid w:val="002B308A"/>
    <w:rsid w:val="002B33C3"/>
    <w:rsid w:val="002B3463"/>
    <w:rsid w:val="002B375B"/>
    <w:rsid w:val="002B3B01"/>
    <w:rsid w:val="002B528D"/>
    <w:rsid w:val="002B6689"/>
    <w:rsid w:val="002B769C"/>
    <w:rsid w:val="002B7BFF"/>
    <w:rsid w:val="002B7EE0"/>
    <w:rsid w:val="002C01A7"/>
    <w:rsid w:val="002C0636"/>
    <w:rsid w:val="002C108B"/>
    <w:rsid w:val="002C16DA"/>
    <w:rsid w:val="002C17D9"/>
    <w:rsid w:val="002C1D56"/>
    <w:rsid w:val="002C222A"/>
    <w:rsid w:val="002C239A"/>
    <w:rsid w:val="002C2B3B"/>
    <w:rsid w:val="002C2F85"/>
    <w:rsid w:val="002C35D8"/>
    <w:rsid w:val="002C3875"/>
    <w:rsid w:val="002C3A7F"/>
    <w:rsid w:val="002C3A94"/>
    <w:rsid w:val="002C3B91"/>
    <w:rsid w:val="002C40DF"/>
    <w:rsid w:val="002C41C6"/>
    <w:rsid w:val="002C42DD"/>
    <w:rsid w:val="002C4811"/>
    <w:rsid w:val="002C4CC6"/>
    <w:rsid w:val="002C4F25"/>
    <w:rsid w:val="002C5283"/>
    <w:rsid w:val="002C5404"/>
    <w:rsid w:val="002C556E"/>
    <w:rsid w:val="002C5B56"/>
    <w:rsid w:val="002C6160"/>
    <w:rsid w:val="002C6167"/>
    <w:rsid w:val="002C64B6"/>
    <w:rsid w:val="002C6D6C"/>
    <w:rsid w:val="002C7D49"/>
    <w:rsid w:val="002C7DCB"/>
    <w:rsid w:val="002D010E"/>
    <w:rsid w:val="002D024D"/>
    <w:rsid w:val="002D02FD"/>
    <w:rsid w:val="002D0539"/>
    <w:rsid w:val="002D0992"/>
    <w:rsid w:val="002D1384"/>
    <w:rsid w:val="002D1C5D"/>
    <w:rsid w:val="002D260B"/>
    <w:rsid w:val="002D295E"/>
    <w:rsid w:val="002D2B2B"/>
    <w:rsid w:val="002D4433"/>
    <w:rsid w:val="002D45CD"/>
    <w:rsid w:val="002D473E"/>
    <w:rsid w:val="002D51E3"/>
    <w:rsid w:val="002D5D1B"/>
    <w:rsid w:val="002D60E6"/>
    <w:rsid w:val="002D634C"/>
    <w:rsid w:val="002D64F5"/>
    <w:rsid w:val="002D6C5B"/>
    <w:rsid w:val="002D7081"/>
    <w:rsid w:val="002D71DE"/>
    <w:rsid w:val="002D736E"/>
    <w:rsid w:val="002D7435"/>
    <w:rsid w:val="002D75CF"/>
    <w:rsid w:val="002D7C9E"/>
    <w:rsid w:val="002E03D4"/>
    <w:rsid w:val="002E0E01"/>
    <w:rsid w:val="002E1A1C"/>
    <w:rsid w:val="002E22D5"/>
    <w:rsid w:val="002E2C48"/>
    <w:rsid w:val="002E36CA"/>
    <w:rsid w:val="002E37B4"/>
    <w:rsid w:val="002E40C9"/>
    <w:rsid w:val="002E479F"/>
    <w:rsid w:val="002E4A7A"/>
    <w:rsid w:val="002E4D33"/>
    <w:rsid w:val="002E541F"/>
    <w:rsid w:val="002E565B"/>
    <w:rsid w:val="002E571D"/>
    <w:rsid w:val="002E59B0"/>
    <w:rsid w:val="002E6282"/>
    <w:rsid w:val="002E651D"/>
    <w:rsid w:val="002E6CAC"/>
    <w:rsid w:val="002E734C"/>
    <w:rsid w:val="002E7F7C"/>
    <w:rsid w:val="002F004F"/>
    <w:rsid w:val="002F00A9"/>
    <w:rsid w:val="002F0768"/>
    <w:rsid w:val="002F0D1D"/>
    <w:rsid w:val="002F0D4D"/>
    <w:rsid w:val="002F0E6C"/>
    <w:rsid w:val="002F1327"/>
    <w:rsid w:val="002F1A5C"/>
    <w:rsid w:val="002F20A0"/>
    <w:rsid w:val="002F20EE"/>
    <w:rsid w:val="002F47DF"/>
    <w:rsid w:val="002F47FF"/>
    <w:rsid w:val="002F4F3F"/>
    <w:rsid w:val="002F5107"/>
    <w:rsid w:val="002F5FDC"/>
    <w:rsid w:val="002F63D2"/>
    <w:rsid w:val="002F666F"/>
    <w:rsid w:val="002F6848"/>
    <w:rsid w:val="002F6920"/>
    <w:rsid w:val="002F6D04"/>
    <w:rsid w:val="002F714E"/>
    <w:rsid w:val="002F7972"/>
    <w:rsid w:val="002F7DF0"/>
    <w:rsid w:val="002F7EB0"/>
    <w:rsid w:val="002F7F2E"/>
    <w:rsid w:val="00300769"/>
    <w:rsid w:val="00301069"/>
    <w:rsid w:val="00301483"/>
    <w:rsid w:val="00301F6F"/>
    <w:rsid w:val="0030235D"/>
    <w:rsid w:val="00302729"/>
    <w:rsid w:val="00302B73"/>
    <w:rsid w:val="0030322A"/>
    <w:rsid w:val="003034A1"/>
    <w:rsid w:val="00303526"/>
    <w:rsid w:val="00304358"/>
    <w:rsid w:val="00304890"/>
    <w:rsid w:val="0030493B"/>
    <w:rsid w:val="00305D2C"/>
    <w:rsid w:val="003069F5"/>
    <w:rsid w:val="003071FB"/>
    <w:rsid w:val="00307A39"/>
    <w:rsid w:val="00307F8F"/>
    <w:rsid w:val="003101EB"/>
    <w:rsid w:val="00310874"/>
    <w:rsid w:val="00310DAC"/>
    <w:rsid w:val="00311169"/>
    <w:rsid w:val="0031135D"/>
    <w:rsid w:val="00311699"/>
    <w:rsid w:val="0031222D"/>
    <w:rsid w:val="0031245D"/>
    <w:rsid w:val="003125C8"/>
    <w:rsid w:val="00312BE2"/>
    <w:rsid w:val="00313DC8"/>
    <w:rsid w:val="003146CE"/>
    <w:rsid w:val="00314992"/>
    <w:rsid w:val="00314B6F"/>
    <w:rsid w:val="00315273"/>
    <w:rsid w:val="003161E4"/>
    <w:rsid w:val="003167D8"/>
    <w:rsid w:val="00317114"/>
    <w:rsid w:val="00317CE2"/>
    <w:rsid w:val="0032079E"/>
    <w:rsid w:val="0032082D"/>
    <w:rsid w:val="00320E4F"/>
    <w:rsid w:val="00320EB8"/>
    <w:rsid w:val="00321974"/>
    <w:rsid w:val="00321E8E"/>
    <w:rsid w:val="0032209B"/>
    <w:rsid w:val="0032212E"/>
    <w:rsid w:val="00322BAC"/>
    <w:rsid w:val="00322DCB"/>
    <w:rsid w:val="00322E4C"/>
    <w:rsid w:val="003239FD"/>
    <w:rsid w:val="00323E93"/>
    <w:rsid w:val="00324379"/>
    <w:rsid w:val="003243ED"/>
    <w:rsid w:val="00324761"/>
    <w:rsid w:val="0032527C"/>
    <w:rsid w:val="00325716"/>
    <w:rsid w:val="00325A83"/>
    <w:rsid w:val="00325EE4"/>
    <w:rsid w:val="00325FDF"/>
    <w:rsid w:val="00326409"/>
    <w:rsid w:val="0032694D"/>
    <w:rsid w:val="00326CC4"/>
    <w:rsid w:val="00327EB2"/>
    <w:rsid w:val="003303F8"/>
    <w:rsid w:val="0033065C"/>
    <w:rsid w:val="00330712"/>
    <w:rsid w:val="00330B0D"/>
    <w:rsid w:val="00330BEA"/>
    <w:rsid w:val="00331173"/>
    <w:rsid w:val="003312E1"/>
    <w:rsid w:val="00331477"/>
    <w:rsid w:val="00331940"/>
    <w:rsid w:val="00331EB1"/>
    <w:rsid w:val="00332F9F"/>
    <w:rsid w:val="00333634"/>
    <w:rsid w:val="00333681"/>
    <w:rsid w:val="00333EFC"/>
    <w:rsid w:val="0033449D"/>
    <w:rsid w:val="00334642"/>
    <w:rsid w:val="00335318"/>
    <w:rsid w:val="003356D2"/>
    <w:rsid w:val="0033592F"/>
    <w:rsid w:val="00335C3A"/>
    <w:rsid w:val="003360CD"/>
    <w:rsid w:val="0033610A"/>
    <w:rsid w:val="0033617C"/>
    <w:rsid w:val="00336501"/>
    <w:rsid w:val="003369C8"/>
    <w:rsid w:val="00336AA8"/>
    <w:rsid w:val="00336C3C"/>
    <w:rsid w:val="00337269"/>
    <w:rsid w:val="00337B1A"/>
    <w:rsid w:val="00337F91"/>
    <w:rsid w:val="0034014C"/>
    <w:rsid w:val="003408DD"/>
    <w:rsid w:val="00340FA2"/>
    <w:rsid w:val="003413DF"/>
    <w:rsid w:val="003413E9"/>
    <w:rsid w:val="00341652"/>
    <w:rsid w:val="003428A3"/>
    <w:rsid w:val="00342AFE"/>
    <w:rsid w:val="00342B9D"/>
    <w:rsid w:val="00343263"/>
    <w:rsid w:val="003436E8"/>
    <w:rsid w:val="00343CFD"/>
    <w:rsid w:val="00344264"/>
    <w:rsid w:val="0034454B"/>
    <w:rsid w:val="003445A6"/>
    <w:rsid w:val="00344640"/>
    <w:rsid w:val="003449E4"/>
    <w:rsid w:val="003453CE"/>
    <w:rsid w:val="00345B78"/>
    <w:rsid w:val="00345D57"/>
    <w:rsid w:val="00346EDC"/>
    <w:rsid w:val="00347C1D"/>
    <w:rsid w:val="00350115"/>
    <w:rsid w:val="0035025F"/>
    <w:rsid w:val="00350823"/>
    <w:rsid w:val="003510E4"/>
    <w:rsid w:val="003518CE"/>
    <w:rsid w:val="00351FC8"/>
    <w:rsid w:val="003524E0"/>
    <w:rsid w:val="00352572"/>
    <w:rsid w:val="00352E58"/>
    <w:rsid w:val="00353497"/>
    <w:rsid w:val="0035431D"/>
    <w:rsid w:val="003544F2"/>
    <w:rsid w:val="0035502D"/>
    <w:rsid w:val="00355869"/>
    <w:rsid w:val="00355BE0"/>
    <w:rsid w:val="00355D98"/>
    <w:rsid w:val="00356467"/>
    <w:rsid w:val="00356C12"/>
    <w:rsid w:val="00356E99"/>
    <w:rsid w:val="00357086"/>
    <w:rsid w:val="0035741D"/>
    <w:rsid w:val="00360565"/>
    <w:rsid w:val="00360677"/>
    <w:rsid w:val="00360D07"/>
    <w:rsid w:val="003621A3"/>
    <w:rsid w:val="0036229A"/>
    <w:rsid w:val="0036234F"/>
    <w:rsid w:val="00362364"/>
    <w:rsid w:val="003623A4"/>
    <w:rsid w:val="00362E24"/>
    <w:rsid w:val="003632CA"/>
    <w:rsid w:val="00363606"/>
    <w:rsid w:val="0036498A"/>
    <w:rsid w:val="00364A54"/>
    <w:rsid w:val="00364CA0"/>
    <w:rsid w:val="0036574D"/>
    <w:rsid w:val="003659B5"/>
    <w:rsid w:val="00365A0E"/>
    <w:rsid w:val="00365C2D"/>
    <w:rsid w:val="00366181"/>
    <w:rsid w:val="003661EF"/>
    <w:rsid w:val="003668F9"/>
    <w:rsid w:val="00367241"/>
    <w:rsid w:val="003673D2"/>
    <w:rsid w:val="003674D3"/>
    <w:rsid w:val="003676EA"/>
    <w:rsid w:val="00367A22"/>
    <w:rsid w:val="00367B76"/>
    <w:rsid w:val="00367CFA"/>
    <w:rsid w:val="00370026"/>
    <w:rsid w:val="00370BD3"/>
    <w:rsid w:val="003714D2"/>
    <w:rsid w:val="00371868"/>
    <w:rsid w:val="00371D98"/>
    <w:rsid w:val="00372136"/>
    <w:rsid w:val="0037218A"/>
    <w:rsid w:val="003731FE"/>
    <w:rsid w:val="0037364F"/>
    <w:rsid w:val="00373D0A"/>
    <w:rsid w:val="00374AFC"/>
    <w:rsid w:val="00374BB6"/>
    <w:rsid w:val="00375922"/>
    <w:rsid w:val="00375A45"/>
    <w:rsid w:val="00375B37"/>
    <w:rsid w:val="00375E86"/>
    <w:rsid w:val="00375FCE"/>
    <w:rsid w:val="003768DC"/>
    <w:rsid w:val="0037712D"/>
    <w:rsid w:val="00377819"/>
    <w:rsid w:val="00377AEB"/>
    <w:rsid w:val="00377B04"/>
    <w:rsid w:val="00377BFC"/>
    <w:rsid w:val="00377E52"/>
    <w:rsid w:val="0038049F"/>
    <w:rsid w:val="00380563"/>
    <w:rsid w:val="003808B6"/>
    <w:rsid w:val="00380D52"/>
    <w:rsid w:val="003819FC"/>
    <w:rsid w:val="00381DB1"/>
    <w:rsid w:val="00382135"/>
    <w:rsid w:val="0038223A"/>
    <w:rsid w:val="003823BE"/>
    <w:rsid w:val="0038268C"/>
    <w:rsid w:val="003826A5"/>
    <w:rsid w:val="00382A90"/>
    <w:rsid w:val="00382CC4"/>
    <w:rsid w:val="003837DA"/>
    <w:rsid w:val="003851AC"/>
    <w:rsid w:val="0038529B"/>
    <w:rsid w:val="00385445"/>
    <w:rsid w:val="0038599F"/>
    <w:rsid w:val="003859D6"/>
    <w:rsid w:val="00385AE4"/>
    <w:rsid w:val="003863B6"/>
    <w:rsid w:val="00386733"/>
    <w:rsid w:val="00386E64"/>
    <w:rsid w:val="00386EF3"/>
    <w:rsid w:val="00387067"/>
    <w:rsid w:val="00387D81"/>
    <w:rsid w:val="0039058F"/>
    <w:rsid w:val="00390B60"/>
    <w:rsid w:val="00391C25"/>
    <w:rsid w:val="00391D1F"/>
    <w:rsid w:val="00391E03"/>
    <w:rsid w:val="00391F91"/>
    <w:rsid w:val="0039251A"/>
    <w:rsid w:val="00392BFC"/>
    <w:rsid w:val="00392DDA"/>
    <w:rsid w:val="00392F74"/>
    <w:rsid w:val="0039314D"/>
    <w:rsid w:val="00393160"/>
    <w:rsid w:val="0039363B"/>
    <w:rsid w:val="0039398A"/>
    <w:rsid w:val="00393A03"/>
    <w:rsid w:val="00393F53"/>
    <w:rsid w:val="003942BF"/>
    <w:rsid w:val="00394904"/>
    <w:rsid w:val="00395803"/>
    <w:rsid w:val="00396224"/>
    <w:rsid w:val="003964C9"/>
    <w:rsid w:val="003964F2"/>
    <w:rsid w:val="0039662D"/>
    <w:rsid w:val="00396AB0"/>
    <w:rsid w:val="00397710"/>
    <w:rsid w:val="00397756"/>
    <w:rsid w:val="00397910"/>
    <w:rsid w:val="003A08BB"/>
    <w:rsid w:val="003A1021"/>
    <w:rsid w:val="003A132C"/>
    <w:rsid w:val="003A1ED6"/>
    <w:rsid w:val="003A2180"/>
    <w:rsid w:val="003A2649"/>
    <w:rsid w:val="003A2794"/>
    <w:rsid w:val="003A2AAB"/>
    <w:rsid w:val="003A30F7"/>
    <w:rsid w:val="003A3339"/>
    <w:rsid w:val="003A3F3D"/>
    <w:rsid w:val="003A407F"/>
    <w:rsid w:val="003A45D8"/>
    <w:rsid w:val="003A48B1"/>
    <w:rsid w:val="003A5153"/>
    <w:rsid w:val="003A5BF8"/>
    <w:rsid w:val="003A5D7B"/>
    <w:rsid w:val="003A5D7C"/>
    <w:rsid w:val="003A5F1C"/>
    <w:rsid w:val="003A687B"/>
    <w:rsid w:val="003A6E5C"/>
    <w:rsid w:val="003A70D4"/>
    <w:rsid w:val="003A72C7"/>
    <w:rsid w:val="003A7A79"/>
    <w:rsid w:val="003B001D"/>
    <w:rsid w:val="003B0D0A"/>
    <w:rsid w:val="003B0DF3"/>
    <w:rsid w:val="003B1630"/>
    <w:rsid w:val="003B2E22"/>
    <w:rsid w:val="003B34A0"/>
    <w:rsid w:val="003B3525"/>
    <w:rsid w:val="003B35A0"/>
    <w:rsid w:val="003B387C"/>
    <w:rsid w:val="003B3A61"/>
    <w:rsid w:val="003B5F15"/>
    <w:rsid w:val="003B660C"/>
    <w:rsid w:val="003B6767"/>
    <w:rsid w:val="003B7141"/>
    <w:rsid w:val="003B7490"/>
    <w:rsid w:val="003B767B"/>
    <w:rsid w:val="003B7D25"/>
    <w:rsid w:val="003C0269"/>
    <w:rsid w:val="003C0296"/>
    <w:rsid w:val="003C0326"/>
    <w:rsid w:val="003C04EC"/>
    <w:rsid w:val="003C057F"/>
    <w:rsid w:val="003C07F5"/>
    <w:rsid w:val="003C0D5D"/>
    <w:rsid w:val="003C2BDA"/>
    <w:rsid w:val="003C2C7F"/>
    <w:rsid w:val="003C3700"/>
    <w:rsid w:val="003C3788"/>
    <w:rsid w:val="003C3865"/>
    <w:rsid w:val="003C390B"/>
    <w:rsid w:val="003C3B88"/>
    <w:rsid w:val="003C472E"/>
    <w:rsid w:val="003C48C0"/>
    <w:rsid w:val="003C4B3A"/>
    <w:rsid w:val="003C4C3E"/>
    <w:rsid w:val="003C5532"/>
    <w:rsid w:val="003C5FC4"/>
    <w:rsid w:val="003C63DA"/>
    <w:rsid w:val="003C78D6"/>
    <w:rsid w:val="003C7DB1"/>
    <w:rsid w:val="003D13E7"/>
    <w:rsid w:val="003D1820"/>
    <w:rsid w:val="003D1BDE"/>
    <w:rsid w:val="003D1C1E"/>
    <w:rsid w:val="003D27E4"/>
    <w:rsid w:val="003D2B97"/>
    <w:rsid w:val="003D325B"/>
    <w:rsid w:val="003D33EF"/>
    <w:rsid w:val="003D36E9"/>
    <w:rsid w:val="003D3DE3"/>
    <w:rsid w:val="003D3FAB"/>
    <w:rsid w:val="003D406C"/>
    <w:rsid w:val="003D4357"/>
    <w:rsid w:val="003D54E2"/>
    <w:rsid w:val="003D58E8"/>
    <w:rsid w:val="003D5AC8"/>
    <w:rsid w:val="003D5FF9"/>
    <w:rsid w:val="003D6610"/>
    <w:rsid w:val="003D6643"/>
    <w:rsid w:val="003D68E9"/>
    <w:rsid w:val="003D6C9D"/>
    <w:rsid w:val="003D7146"/>
    <w:rsid w:val="003D769A"/>
    <w:rsid w:val="003E030F"/>
    <w:rsid w:val="003E048E"/>
    <w:rsid w:val="003E091F"/>
    <w:rsid w:val="003E0EA3"/>
    <w:rsid w:val="003E1A62"/>
    <w:rsid w:val="003E2CD4"/>
    <w:rsid w:val="003E312C"/>
    <w:rsid w:val="003E3630"/>
    <w:rsid w:val="003E3B32"/>
    <w:rsid w:val="003E4676"/>
    <w:rsid w:val="003E4DE7"/>
    <w:rsid w:val="003E57E3"/>
    <w:rsid w:val="003E66A5"/>
    <w:rsid w:val="003E6B12"/>
    <w:rsid w:val="003E7113"/>
    <w:rsid w:val="003E76BA"/>
    <w:rsid w:val="003F038F"/>
    <w:rsid w:val="003F0829"/>
    <w:rsid w:val="003F08B6"/>
    <w:rsid w:val="003F0A44"/>
    <w:rsid w:val="003F0CA4"/>
    <w:rsid w:val="003F13BD"/>
    <w:rsid w:val="003F2428"/>
    <w:rsid w:val="003F3260"/>
    <w:rsid w:val="003F4B5E"/>
    <w:rsid w:val="003F4CF1"/>
    <w:rsid w:val="003F50AA"/>
    <w:rsid w:val="003F55E5"/>
    <w:rsid w:val="003F5D6C"/>
    <w:rsid w:val="003F60F5"/>
    <w:rsid w:val="003F639E"/>
    <w:rsid w:val="003F65EC"/>
    <w:rsid w:val="003F67F0"/>
    <w:rsid w:val="003F68E1"/>
    <w:rsid w:val="003F6EB1"/>
    <w:rsid w:val="003F7168"/>
    <w:rsid w:val="003F74C2"/>
    <w:rsid w:val="003F788D"/>
    <w:rsid w:val="003F7EFE"/>
    <w:rsid w:val="004008D2"/>
    <w:rsid w:val="004016CB"/>
    <w:rsid w:val="00401884"/>
    <w:rsid w:val="004021CD"/>
    <w:rsid w:val="00402753"/>
    <w:rsid w:val="00402EBF"/>
    <w:rsid w:val="00403860"/>
    <w:rsid w:val="00403C6A"/>
    <w:rsid w:val="00403EB4"/>
    <w:rsid w:val="00405796"/>
    <w:rsid w:val="00405B07"/>
    <w:rsid w:val="00406757"/>
    <w:rsid w:val="00406B9B"/>
    <w:rsid w:val="00406EB5"/>
    <w:rsid w:val="004075DF"/>
    <w:rsid w:val="00407741"/>
    <w:rsid w:val="00407EB7"/>
    <w:rsid w:val="00407F18"/>
    <w:rsid w:val="00410655"/>
    <w:rsid w:val="004107BF"/>
    <w:rsid w:val="004107E1"/>
    <w:rsid w:val="00411277"/>
    <w:rsid w:val="0041161A"/>
    <w:rsid w:val="004116A9"/>
    <w:rsid w:val="004117F4"/>
    <w:rsid w:val="00411C28"/>
    <w:rsid w:val="00411D35"/>
    <w:rsid w:val="004120BA"/>
    <w:rsid w:val="004120C9"/>
    <w:rsid w:val="00412A74"/>
    <w:rsid w:val="00412C77"/>
    <w:rsid w:val="00412D82"/>
    <w:rsid w:val="00413333"/>
    <w:rsid w:val="00413A60"/>
    <w:rsid w:val="00414E8B"/>
    <w:rsid w:val="00415599"/>
    <w:rsid w:val="00415C31"/>
    <w:rsid w:val="00415C42"/>
    <w:rsid w:val="00415E09"/>
    <w:rsid w:val="00415EEE"/>
    <w:rsid w:val="00415F05"/>
    <w:rsid w:val="00416210"/>
    <w:rsid w:val="00416436"/>
    <w:rsid w:val="004166EF"/>
    <w:rsid w:val="00416FED"/>
    <w:rsid w:val="00417402"/>
    <w:rsid w:val="00417693"/>
    <w:rsid w:val="00417D2A"/>
    <w:rsid w:val="004203EC"/>
    <w:rsid w:val="004203F3"/>
    <w:rsid w:val="00420DB1"/>
    <w:rsid w:val="004210D0"/>
    <w:rsid w:val="004210D7"/>
    <w:rsid w:val="00421B11"/>
    <w:rsid w:val="00421F57"/>
    <w:rsid w:val="00422958"/>
    <w:rsid w:val="00423865"/>
    <w:rsid w:val="00423876"/>
    <w:rsid w:val="00423EB5"/>
    <w:rsid w:val="00424296"/>
    <w:rsid w:val="00424F07"/>
    <w:rsid w:val="00424FDB"/>
    <w:rsid w:val="00425ECA"/>
    <w:rsid w:val="0042640B"/>
    <w:rsid w:val="00427319"/>
    <w:rsid w:val="004275F8"/>
    <w:rsid w:val="00427623"/>
    <w:rsid w:val="00430389"/>
    <w:rsid w:val="00430428"/>
    <w:rsid w:val="00430523"/>
    <w:rsid w:val="00430974"/>
    <w:rsid w:val="004313B1"/>
    <w:rsid w:val="00431F56"/>
    <w:rsid w:val="004321FC"/>
    <w:rsid w:val="00432387"/>
    <w:rsid w:val="00432944"/>
    <w:rsid w:val="00433E48"/>
    <w:rsid w:val="00434278"/>
    <w:rsid w:val="004344D4"/>
    <w:rsid w:val="0043480D"/>
    <w:rsid w:val="00434874"/>
    <w:rsid w:val="00435325"/>
    <w:rsid w:val="00435453"/>
    <w:rsid w:val="00435B54"/>
    <w:rsid w:val="0043607B"/>
    <w:rsid w:val="00436465"/>
    <w:rsid w:val="004364A3"/>
    <w:rsid w:val="00436A3E"/>
    <w:rsid w:val="00437D39"/>
    <w:rsid w:val="004405D3"/>
    <w:rsid w:val="00440CC7"/>
    <w:rsid w:val="00441040"/>
    <w:rsid w:val="004416AB"/>
    <w:rsid w:val="0044195C"/>
    <w:rsid w:val="00442012"/>
    <w:rsid w:val="004422C5"/>
    <w:rsid w:val="00442665"/>
    <w:rsid w:val="00442A4D"/>
    <w:rsid w:val="00442BEF"/>
    <w:rsid w:val="004432AD"/>
    <w:rsid w:val="004432DE"/>
    <w:rsid w:val="004437EC"/>
    <w:rsid w:val="00443B9F"/>
    <w:rsid w:val="00443FCB"/>
    <w:rsid w:val="0044402E"/>
    <w:rsid w:val="004440EF"/>
    <w:rsid w:val="00444C6F"/>
    <w:rsid w:val="00444CD7"/>
    <w:rsid w:val="00444F5E"/>
    <w:rsid w:val="004450A8"/>
    <w:rsid w:val="004451C8"/>
    <w:rsid w:val="004451F4"/>
    <w:rsid w:val="00445218"/>
    <w:rsid w:val="0044540C"/>
    <w:rsid w:val="00446725"/>
    <w:rsid w:val="00447990"/>
    <w:rsid w:val="00447F5A"/>
    <w:rsid w:val="00450D6D"/>
    <w:rsid w:val="004518EC"/>
    <w:rsid w:val="00451959"/>
    <w:rsid w:val="00451E45"/>
    <w:rsid w:val="004523A3"/>
    <w:rsid w:val="004526DF"/>
    <w:rsid w:val="0045295F"/>
    <w:rsid w:val="004529DB"/>
    <w:rsid w:val="00452BB2"/>
    <w:rsid w:val="00452EEB"/>
    <w:rsid w:val="00453132"/>
    <w:rsid w:val="0045326A"/>
    <w:rsid w:val="0045326B"/>
    <w:rsid w:val="004534CF"/>
    <w:rsid w:val="00453D9E"/>
    <w:rsid w:val="00454117"/>
    <w:rsid w:val="0045573F"/>
    <w:rsid w:val="00455799"/>
    <w:rsid w:val="00455C28"/>
    <w:rsid w:val="00456848"/>
    <w:rsid w:val="004578FB"/>
    <w:rsid w:val="00457C2E"/>
    <w:rsid w:val="00457D46"/>
    <w:rsid w:val="00457DC0"/>
    <w:rsid w:val="00457E1B"/>
    <w:rsid w:val="00460577"/>
    <w:rsid w:val="00460698"/>
    <w:rsid w:val="00460DB8"/>
    <w:rsid w:val="00461B23"/>
    <w:rsid w:val="00461C9F"/>
    <w:rsid w:val="0046228E"/>
    <w:rsid w:val="004623A9"/>
    <w:rsid w:val="00462BE5"/>
    <w:rsid w:val="00462FA8"/>
    <w:rsid w:val="00463695"/>
    <w:rsid w:val="00463A45"/>
    <w:rsid w:val="00463BFB"/>
    <w:rsid w:val="00463CAA"/>
    <w:rsid w:val="00463D87"/>
    <w:rsid w:val="00464B50"/>
    <w:rsid w:val="00464DBF"/>
    <w:rsid w:val="00465781"/>
    <w:rsid w:val="00465CC1"/>
    <w:rsid w:val="00465E09"/>
    <w:rsid w:val="00465E54"/>
    <w:rsid w:val="00466DD4"/>
    <w:rsid w:val="00466EA2"/>
    <w:rsid w:val="00466F32"/>
    <w:rsid w:val="00467257"/>
    <w:rsid w:val="00467448"/>
    <w:rsid w:val="00467483"/>
    <w:rsid w:val="00467764"/>
    <w:rsid w:val="00470A3C"/>
    <w:rsid w:val="0047169E"/>
    <w:rsid w:val="00471C6D"/>
    <w:rsid w:val="0047230E"/>
    <w:rsid w:val="004728A2"/>
    <w:rsid w:val="00472E83"/>
    <w:rsid w:val="00473074"/>
    <w:rsid w:val="004736C4"/>
    <w:rsid w:val="00473B90"/>
    <w:rsid w:val="004743E9"/>
    <w:rsid w:val="004744E8"/>
    <w:rsid w:val="00474921"/>
    <w:rsid w:val="00474E72"/>
    <w:rsid w:val="0047567B"/>
    <w:rsid w:val="004758A1"/>
    <w:rsid w:val="00475D6C"/>
    <w:rsid w:val="00476073"/>
    <w:rsid w:val="00476488"/>
    <w:rsid w:val="00477072"/>
    <w:rsid w:val="00477163"/>
    <w:rsid w:val="00477811"/>
    <w:rsid w:val="00477F06"/>
    <w:rsid w:val="00480E69"/>
    <w:rsid w:val="00481933"/>
    <w:rsid w:val="00481E68"/>
    <w:rsid w:val="004822EB"/>
    <w:rsid w:val="00482DA0"/>
    <w:rsid w:val="00482E1D"/>
    <w:rsid w:val="004831DA"/>
    <w:rsid w:val="004836CD"/>
    <w:rsid w:val="00483B20"/>
    <w:rsid w:val="00483D4A"/>
    <w:rsid w:val="00485593"/>
    <w:rsid w:val="0048677C"/>
    <w:rsid w:val="00486F6D"/>
    <w:rsid w:val="0048740E"/>
    <w:rsid w:val="00487A64"/>
    <w:rsid w:val="00490212"/>
    <w:rsid w:val="00490352"/>
    <w:rsid w:val="00490676"/>
    <w:rsid w:val="0049089F"/>
    <w:rsid w:val="00490EB5"/>
    <w:rsid w:val="004910B3"/>
    <w:rsid w:val="004919A5"/>
    <w:rsid w:val="00491CF6"/>
    <w:rsid w:val="004922D6"/>
    <w:rsid w:val="0049260E"/>
    <w:rsid w:val="00492762"/>
    <w:rsid w:val="00492AE5"/>
    <w:rsid w:val="00492C1D"/>
    <w:rsid w:val="004930A1"/>
    <w:rsid w:val="004936F8"/>
    <w:rsid w:val="004938A4"/>
    <w:rsid w:val="00493A7E"/>
    <w:rsid w:val="00493F26"/>
    <w:rsid w:val="004940DD"/>
    <w:rsid w:val="0049416D"/>
    <w:rsid w:val="00494AE1"/>
    <w:rsid w:val="00494CC3"/>
    <w:rsid w:val="004963B0"/>
    <w:rsid w:val="00496FEA"/>
    <w:rsid w:val="004970AA"/>
    <w:rsid w:val="004975B7"/>
    <w:rsid w:val="00497A11"/>
    <w:rsid w:val="00497B4F"/>
    <w:rsid w:val="004A11E5"/>
    <w:rsid w:val="004A1B10"/>
    <w:rsid w:val="004A20A4"/>
    <w:rsid w:val="004A25BE"/>
    <w:rsid w:val="004A2722"/>
    <w:rsid w:val="004A2D84"/>
    <w:rsid w:val="004A31EC"/>
    <w:rsid w:val="004A3284"/>
    <w:rsid w:val="004A3B57"/>
    <w:rsid w:val="004A42EC"/>
    <w:rsid w:val="004A4682"/>
    <w:rsid w:val="004A5791"/>
    <w:rsid w:val="004A587E"/>
    <w:rsid w:val="004A6CCA"/>
    <w:rsid w:val="004A6F8A"/>
    <w:rsid w:val="004A7A5D"/>
    <w:rsid w:val="004A7FC2"/>
    <w:rsid w:val="004B038B"/>
    <w:rsid w:val="004B084B"/>
    <w:rsid w:val="004B0FD0"/>
    <w:rsid w:val="004B12D3"/>
    <w:rsid w:val="004B27F9"/>
    <w:rsid w:val="004B2914"/>
    <w:rsid w:val="004B3739"/>
    <w:rsid w:val="004B39B3"/>
    <w:rsid w:val="004B39E9"/>
    <w:rsid w:val="004B3F2E"/>
    <w:rsid w:val="004B4B98"/>
    <w:rsid w:val="004B507E"/>
    <w:rsid w:val="004B5497"/>
    <w:rsid w:val="004B5E7F"/>
    <w:rsid w:val="004B679F"/>
    <w:rsid w:val="004B6E97"/>
    <w:rsid w:val="004B7310"/>
    <w:rsid w:val="004B770A"/>
    <w:rsid w:val="004B7884"/>
    <w:rsid w:val="004B7979"/>
    <w:rsid w:val="004C0260"/>
    <w:rsid w:val="004C059F"/>
    <w:rsid w:val="004C0B12"/>
    <w:rsid w:val="004C0EE0"/>
    <w:rsid w:val="004C10F9"/>
    <w:rsid w:val="004C123D"/>
    <w:rsid w:val="004C14F9"/>
    <w:rsid w:val="004C1518"/>
    <w:rsid w:val="004C1557"/>
    <w:rsid w:val="004C17F2"/>
    <w:rsid w:val="004C1A8F"/>
    <w:rsid w:val="004C1B53"/>
    <w:rsid w:val="004C1FBB"/>
    <w:rsid w:val="004C279E"/>
    <w:rsid w:val="004C2BC3"/>
    <w:rsid w:val="004C330E"/>
    <w:rsid w:val="004C37DE"/>
    <w:rsid w:val="004C3987"/>
    <w:rsid w:val="004C40FC"/>
    <w:rsid w:val="004C4970"/>
    <w:rsid w:val="004C4CAE"/>
    <w:rsid w:val="004C53A0"/>
    <w:rsid w:val="004C554D"/>
    <w:rsid w:val="004C5887"/>
    <w:rsid w:val="004C5939"/>
    <w:rsid w:val="004C5F8F"/>
    <w:rsid w:val="004C631D"/>
    <w:rsid w:val="004C65EB"/>
    <w:rsid w:val="004C6B0D"/>
    <w:rsid w:val="004C7229"/>
    <w:rsid w:val="004D01E1"/>
    <w:rsid w:val="004D042A"/>
    <w:rsid w:val="004D07BB"/>
    <w:rsid w:val="004D09CF"/>
    <w:rsid w:val="004D172B"/>
    <w:rsid w:val="004D17BF"/>
    <w:rsid w:val="004D1FBE"/>
    <w:rsid w:val="004D23B9"/>
    <w:rsid w:val="004D2ACA"/>
    <w:rsid w:val="004D2EF1"/>
    <w:rsid w:val="004D35E9"/>
    <w:rsid w:val="004D43FD"/>
    <w:rsid w:val="004D44C4"/>
    <w:rsid w:val="004D44FE"/>
    <w:rsid w:val="004D4F93"/>
    <w:rsid w:val="004D5081"/>
    <w:rsid w:val="004D530A"/>
    <w:rsid w:val="004D5571"/>
    <w:rsid w:val="004D5E6C"/>
    <w:rsid w:val="004D61A6"/>
    <w:rsid w:val="004D67B4"/>
    <w:rsid w:val="004E1840"/>
    <w:rsid w:val="004E25EC"/>
    <w:rsid w:val="004E2C74"/>
    <w:rsid w:val="004E2D8B"/>
    <w:rsid w:val="004E3621"/>
    <w:rsid w:val="004E365E"/>
    <w:rsid w:val="004E3970"/>
    <w:rsid w:val="004E3C99"/>
    <w:rsid w:val="004E3EFF"/>
    <w:rsid w:val="004E4534"/>
    <w:rsid w:val="004E4A8E"/>
    <w:rsid w:val="004E4C2E"/>
    <w:rsid w:val="004E5243"/>
    <w:rsid w:val="004E5C8E"/>
    <w:rsid w:val="004E5EAB"/>
    <w:rsid w:val="004E5F5E"/>
    <w:rsid w:val="004E5FA4"/>
    <w:rsid w:val="004E623F"/>
    <w:rsid w:val="004E68ED"/>
    <w:rsid w:val="004E7E45"/>
    <w:rsid w:val="004F003C"/>
    <w:rsid w:val="004F0217"/>
    <w:rsid w:val="004F1B86"/>
    <w:rsid w:val="004F1D31"/>
    <w:rsid w:val="004F31CC"/>
    <w:rsid w:val="004F3C1B"/>
    <w:rsid w:val="004F5799"/>
    <w:rsid w:val="004F5B5C"/>
    <w:rsid w:val="004F5BA5"/>
    <w:rsid w:val="004F6AB7"/>
    <w:rsid w:val="004F6F2C"/>
    <w:rsid w:val="004F7707"/>
    <w:rsid w:val="004F7E75"/>
    <w:rsid w:val="00500104"/>
    <w:rsid w:val="005011D8"/>
    <w:rsid w:val="00501E08"/>
    <w:rsid w:val="0050200B"/>
    <w:rsid w:val="00502228"/>
    <w:rsid w:val="0050254D"/>
    <w:rsid w:val="005026BD"/>
    <w:rsid w:val="00503174"/>
    <w:rsid w:val="005031C8"/>
    <w:rsid w:val="0050323E"/>
    <w:rsid w:val="00503787"/>
    <w:rsid w:val="00503BB7"/>
    <w:rsid w:val="00504749"/>
    <w:rsid w:val="0050582B"/>
    <w:rsid w:val="00506466"/>
    <w:rsid w:val="005065B4"/>
    <w:rsid w:val="00506770"/>
    <w:rsid w:val="00506F61"/>
    <w:rsid w:val="00507355"/>
    <w:rsid w:val="0050764C"/>
    <w:rsid w:val="005079CC"/>
    <w:rsid w:val="00507DF0"/>
    <w:rsid w:val="0051016E"/>
    <w:rsid w:val="0051075B"/>
    <w:rsid w:val="005111E5"/>
    <w:rsid w:val="0051158C"/>
    <w:rsid w:val="00511AA0"/>
    <w:rsid w:val="00511D0E"/>
    <w:rsid w:val="005120A8"/>
    <w:rsid w:val="00512E40"/>
    <w:rsid w:val="00513419"/>
    <w:rsid w:val="0051362C"/>
    <w:rsid w:val="00514013"/>
    <w:rsid w:val="00514292"/>
    <w:rsid w:val="005149E9"/>
    <w:rsid w:val="00514C93"/>
    <w:rsid w:val="00514EBF"/>
    <w:rsid w:val="00514F6D"/>
    <w:rsid w:val="00515239"/>
    <w:rsid w:val="0051592B"/>
    <w:rsid w:val="00515A8B"/>
    <w:rsid w:val="00515ABB"/>
    <w:rsid w:val="00515BC7"/>
    <w:rsid w:val="005160ED"/>
    <w:rsid w:val="00516515"/>
    <w:rsid w:val="005166E3"/>
    <w:rsid w:val="00517578"/>
    <w:rsid w:val="00517E08"/>
    <w:rsid w:val="00520177"/>
    <w:rsid w:val="00520FAC"/>
    <w:rsid w:val="00521705"/>
    <w:rsid w:val="00521D0A"/>
    <w:rsid w:val="00522280"/>
    <w:rsid w:val="005227E1"/>
    <w:rsid w:val="005228BE"/>
    <w:rsid w:val="00522B57"/>
    <w:rsid w:val="00523A0D"/>
    <w:rsid w:val="00523C8B"/>
    <w:rsid w:val="00523D2A"/>
    <w:rsid w:val="0052402E"/>
    <w:rsid w:val="00524B69"/>
    <w:rsid w:val="00524C28"/>
    <w:rsid w:val="00524DC9"/>
    <w:rsid w:val="005250CC"/>
    <w:rsid w:val="00525170"/>
    <w:rsid w:val="00525750"/>
    <w:rsid w:val="00527045"/>
    <w:rsid w:val="0052748C"/>
    <w:rsid w:val="005279B5"/>
    <w:rsid w:val="00527B26"/>
    <w:rsid w:val="0053016E"/>
    <w:rsid w:val="0053073C"/>
    <w:rsid w:val="00530B01"/>
    <w:rsid w:val="00530ED4"/>
    <w:rsid w:val="00531012"/>
    <w:rsid w:val="005316B1"/>
    <w:rsid w:val="005316FF"/>
    <w:rsid w:val="00531C5E"/>
    <w:rsid w:val="005323C9"/>
    <w:rsid w:val="00533117"/>
    <w:rsid w:val="0053318E"/>
    <w:rsid w:val="005332DE"/>
    <w:rsid w:val="00533BA3"/>
    <w:rsid w:val="00533DCC"/>
    <w:rsid w:val="00533F8A"/>
    <w:rsid w:val="00533FE3"/>
    <w:rsid w:val="005346B7"/>
    <w:rsid w:val="005347CB"/>
    <w:rsid w:val="00535674"/>
    <w:rsid w:val="0053606D"/>
    <w:rsid w:val="005361CB"/>
    <w:rsid w:val="005364CE"/>
    <w:rsid w:val="00537253"/>
    <w:rsid w:val="00537730"/>
    <w:rsid w:val="0053797F"/>
    <w:rsid w:val="005379C0"/>
    <w:rsid w:val="00537B53"/>
    <w:rsid w:val="00537D8B"/>
    <w:rsid w:val="00537E79"/>
    <w:rsid w:val="00537F05"/>
    <w:rsid w:val="00540203"/>
    <w:rsid w:val="005405B9"/>
    <w:rsid w:val="0054085B"/>
    <w:rsid w:val="00540966"/>
    <w:rsid w:val="00540AF0"/>
    <w:rsid w:val="00541855"/>
    <w:rsid w:val="00541E11"/>
    <w:rsid w:val="00541EA0"/>
    <w:rsid w:val="00541F97"/>
    <w:rsid w:val="00542D20"/>
    <w:rsid w:val="00542F50"/>
    <w:rsid w:val="005431B0"/>
    <w:rsid w:val="00543693"/>
    <w:rsid w:val="005450F3"/>
    <w:rsid w:val="00545671"/>
    <w:rsid w:val="00545BE0"/>
    <w:rsid w:val="00546891"/>
    <w:rsid w:val="00546EED"/>
    <w:rsid w:val="00546EF7"/>
    <w:rsid w:val="0054747C"/>
    <w:rsid w:val="00547588"/>
    <w:rsid w:val="00547714"/>
    <w:rsid w:val="00547813"/>
    <w:rsid w:val="0054791D"/>
    <w:rsid w:val="00547F0E"/>
    <w:rsid w:val="005507B6"/>
    <w:rsid w:val="005509D1"/>
    <w:rsid w:val="0055125D"/>
    <w:rsid w:val="005513EC"/>
    <w:rsid w:val="0055141E"/>
    <w:rsid w:val="005514AF"/>
    <w:rsid w:val="0055162C"/>
    <w:rsid w:val="00551D5C"/>
    <w:rsid w:val="0055209A"/>
    <w:rsid w:val="00552E47"/>
    <w:rsid w:val="005538BA"/>
    <w:rsid w:val="00553DE2"/>
    <w:rsid w:val="00553FAB"/>
    <w:rsid w:val="005544E8"/>
    <w:rsid w:val="005546EB"/>
    <w:rsid w:val="00554B6B"/>
    <w:rsid w:val="00554B96"/>
    <w:rsid w:val="00554DF3"/>
    <w:rsid w:val="005552DB"/>
    <w:rsid w:val="00555665"/>
    <w:rsid w:val="00556A95"/>
    <w:rsid w:val="00556C89"/>
    <w:rsid w:val="00557460"/>
    <w:rsid w:val="005574DC"/>
    <w:rsid w:val="00557E8D"/>
    <w:rsid w:val="00557FAE"/>
    <w:rsid w:val="00561287"/>
    <w:rsid w:val="00561D70"/>
    <w:rsid w:val="0056213B"/>
    <w:rsid w:val="00562C02"/>
    <w:rsid w:val="00562D52"/>
    <w:rsid w:val="0056356B"/>
    <w:rsid w:val="005635F9"/>
    <w:rsid w:val="00563C03"/>
    <w:rsid w:val="00563D3C"/>
    <w:rsid w:val="00563F17"/>
    <w:rsid w:val="00563F1B"/>
    <w:rsid w:val="00563FF0"/>
    <w:rsid w:val="0056408A"/>
    <w:rsid w:val="0056442C"/>
    <w:rsid w:val="00565490"/>
    <w:rsid w:val="00565844"/>
    <w:rsid w:val="00565A6C"/>
    <w:rsid w:val="00565D14"/>
    <w:rsid w:val="00566432"/>
    <w:rsid w:val="00566448"/>
    <w:rsid w:val="00566A13"/>
    <w:rsid w:val="00566BAD"/>
    <w:rsid w:val="00566E10"/>
    <w:rsid w:val="00570254"/>
    <w:rsid w:val="0057027A"/>
    <w:rsid w:val="00570982"/>
    <w:rsid w:val="00570D80"/>
    <w:rsid w:val="00570E1B"/>
    <w:rsid w:val="005713EF"/>
    <w:rsid w:val="005715E9"/>
    <w:rsid w:val="00571C53"/>
    <w:rsid w:val="005723D7"/>
    <w:rsid w:val="00573227"/>
    <w:rsid w:val="0057346F"/>
    <w:rsid w:val="0057357A"/>
    <w:rsid w:val="005738CE"/>
    <w:rsid w:val="00574AAE"/>
    <w:rsid w:val="00574B74"/>
    <w:rsid w:val="00575C0C"/>
    <w:rsid w:val="00575FEA"/>
    <w:rsid w:val="005761A7"/>
    <w:rsid w:val="00576283"/>
    <w:rsid w:val="005765B0"/>
    <w:rsid w:val="00576623"/>
    <w:rsid w:val="005776CE"/>
    <w:rsid w:val="0057785D"/>
    <w:rsid w:val="00577A30"/>
    <w:rsid w:val="005804D2"/>
    <w:rsid w:val="00580CB7"/>
    <w:rsid w:val="005819D1"/>
    <w:rsid w:val="00581A49"/>
    <w:rsid w:val="00581AA3"/>
    <w:rsid w:val="00583A01"/>
    <w:rsid w:val="00584EB7"/>
    <w:rsid w:val="0058540E"/>
    <w:rsid w:val="00585B3A"/>
    <w:rsid w:val="00586C7D"/>
    <w:rsid w:val="00587399"/>
    <w:rsid w:val="0058771A"/>
    <w:rsid w:val="00587A79"/>
    <w:rsid w:val="00587B0B"/>
    <w:rsid w:val="00587B74"/>
    <w:rsid w:val="00590467"/>
    <w:rsid w:val="005906AB"/>
    <w:rsid w:val="00590C21"/>
    <w:rsid w:val="00590E17"/>
    <w:rsid w:val="00590E29"/>
    <w:rsid w:val="00591117"/>
    <w:rsid w:val="005913E0"/>
    <w:rsid w:val="005914DD"/>
    <w:rsid w:val="00591776"/>
    <w:rsid w:val="00591BA4"/>
    <w:rsid w:val="00591D68"/>
    <w:rsid w:val="0059253E"/>
    <w:rsid w:val="00592767"/>
    <w:rsid w:val="00592C5A"/>
    <w:rsid w:val="00593283"/>
    <w:rsid w:val="0059388A"/>
    <w:rsid w:val="00594017"/>
    <w:rsid w:val="0059447A"/>
    <w:rsid w:val="00594DBC"/>
    <w:rsid w:val="005950A7"/>
    <w:rsid w:val="0059580D"/>
    <w:rsid w:val="00595C22"/>
    <w:rsid w:val="00595F98"/>
    <w:rsid w:val="00596181"/>
    <w:rsid w:val="005961D1"/>
    <w:rsid w:val="0059621C"/>
    <w:rsid w:val="00596262"/>
    <w:rsid w:val="00596D68"/>
    <w:rsid w:val="00597264"/>
    <w:rsid w:val="00597567"/>
    <w:rsid w:val="005976F3"/>
    <w:rsid w:val="00597B68"/>
    <w:rsid w:val="005A0BEA"/>
    <w:rsid w:val="005A1368"/>
    <w:rsid w:val="005A14F0"/>
    <w:rsid w:val="005A17BC"/>
    <w:rsid w:val="005A1B93"/>
    <w:rsid w:val="005A1D4D"/>
    <w:rsid w:val="005A41F6"/>
    <w:rsid w:val="005A4B74"/>
    <w:rsid w:val="005A4E9B"/>
    <w:rsid w:val="005A64AC"/>
    <w:rsid w:val="005A6D60"/>
    <w:rsid w:val="005A70B4"/>
    <w:rsid w:val="005A796C"/>
    <w:rsid w:val="005A7B91"/>
    <w:rsid w:val="005B04B0"/>
    <w:rsid w:val="005B06B1"/>
    <w:rsid w:val="005B0B38"/>
    <w:rsid w:val="005B0D5E"/>
    <w:rsid w:val="005B13E0"/>
    <w:rsid w:val="005B1DAB"/>
    <w:rsid w:val="005B2232"/>
    <w:rsid w:val="005B27AF"/>
    <w:rsid w:val="005B2915"/>
    <w:rsid w:val="005B2AFD"/>
    <w:rsid w:val="005B358A"/>
    <w:rsid w:val="005B5083"/>
    <w:rsid w:val="005B538A"/>
    <w:rsid w:val="005B5903"/>
    <w:rsid w:val="005B5AD6"/>
    <w:rsid w:val="005B5C69"/>
    <w:rsid w:val="005B5D8A"/>
    <w:rsid w:val="005B61AF"/>
    <w:rsid w:val="005B67FF"/>
    <w:rsid w:val="005B7075"/>
    <w:rsid w:val="005B7541"/>
    <w:rsid w:val="005B791B"/>
    <w:rsid w:val="005B7BDC"/>
    <w:rsid w:val="005C00E6"/>
    <w:rsid w:val="005C05C1"/>
    <w:rsid w:val="005C1BCB"/>
    <w:rsid w:val="005C26BF"/>
    <w:rsid w:val="005C2AC1"/>
    <w:rsid w:val="005C3432"/>
    <w:rsid w:val="005C360C"/>
    <w:rsid w:val="005C3954"/>
    <w:rsid w:val="005C396D"/>
    <w:rsid w:val="005C39A4"/>
    <w:rsid w:val="005C421D"/>
    <w:rsid w:val="005C44D9"/>
    <w:rsid w:val="005C4B10"/>
    <w:rsid w:val="005C60EF"/>
    <w:rsid w:val="005C6DFF"/>
    <w:rsid w:val="005C6E64"/>
    <w:rsid w:val="005C70B5"/>
    <w:rsid w:val="005C7A6E"/>
    <w:rsid w:val="005C7E0D"/>
    <w:rsid w:val="005C7EF9"/>
    <w:rsid w:val="005D0719"/>
    <w:rsid w:val="005D090B"/>
    <w:rsid w:val="005D0943"/>
    <w:rsid w:val="005D13D8"/>
    <w:rsid w:val="005D1B58"/>
    <w:rsid w:val="005D2071"/>
    <w:rsid w:val="005D30F2"/>
    <w:rsid w:val="005D36A0"/>
    <w:rsid w:val="005D52C8"/>
    <w:rsid w:val="005D6119"/>
    <w:rsid w:val="005D6B64"/>
    <w:rsid w:val="005D6E02"/>
    <w:rsid w:val="005D6EC1"/>
    <w:rsid w:val="005D7019"/>
    <w:rsid w:val="005D73FE"/>
    <w:rsid w:val="005D7421"/>
    <w:rsid w:val="005D7AF4"/>
    <w:rsid w:val="005D7B25"/>
    <w:rsid w:val="005E029C"/>
    <w:rsid w:val="005E032D"/>
    <w:rsid w:val="005E05BE"/>
    <w:rsid w:val="005E0C7D"/>
    <w:rsid w:val="005E0CED"/>
    <w:rsid w:val="005E0EEB"/>
    <w:rsid w:val="005E1091"/>
    <w:rsid w:val="005E1A37"/>
    <w:rsid w:val="005E251F"/>
    <w:rsid w:val="005E25DD"/>
    <w:rsid w:val="005E27FE"/>
    <w:rsid w:val="005E2B5A"/>
    <w:rsid w:val="005E2BEB"/>
    <w:rsid w:val="005E2C79"/>
    <w:rsid w:val="005E3D28"/>
    <w:rsid w:val="005E4E1F"/>
    <w:rsid w:val="005E50AB"/>
    <w:rsid w:val="005E5320"/>
    <w:rsid w:val="005E5840"/>
    <w:rsid w:val="005E5D86"/>
    <w:rsid w:val="005E6142"/>
    <w:rsid w:val="005E668C"/>
    <w:rsid w:val="005E6978"/>
    <w:rsid w:val="005E6B4B"/>
    <w:rsid w:val="005E6B64"/>
    <w:rsid w:val="005E6DD9"/>
    <w:rsid w:val="005E7666"/>
    <w:rsid w:val="005E79CE"/>
    <w:rsid w:val="005F0117"/>
    <w:rsid w:val="005F03AE"/>
    <w:rsid w:val="005F0D3E"/>
    <w:rsid w:val="005F113F"/>
    <w:rsid w:val="005F1662"/>
    <w:rsid w:val="005F1F27"/>
    <w:rsid w:val="005F2CC4"/>
    <w:rsid w:val="005F33E3"/>
    <w:rsid w:val="005F464D"/>
    <w:rsid w:val="005F551E"/>
    <w:rsid w:val="005F5547"/>
    <w:rsid w:val="005F576A"/>
    <w:rsid w:val="005F5D76"/>
    <w:rsid w:val="005F61A7"/>
    <w:rsid w:val="005F66B6"/>
    <w:rsid w:val="005F66E2"/>
    <w:rsid w:val="005F6D27"/>
    <w:rsid w:val="005F6E6F"/>
    <w:rsid w:val="005F6EF5"/>
    <w:rsid w:val="005F79D3"/>
    <w:rsid w:val="005F7A62"/>
    <w:rsid w:val="005F7FFA"/>
    <w:rsid w:val="0060013C"/>
    <w:rsid w:val="006001DF"/>
    <w:rsid w:val="00600C5C"/>
    <w:rsid w:val="00601745"/>
    <w:rsid w:val="0060178F"/>
    <w:rsid w:val="00601D0E"/>
    <w:rsid w:val="00601D49"/>
    <w:rsid w:val="006024F3"/>
    <w:rsid w:val="00602D4A"/>
    <w:rsid w:val="00602F81"/>
    <w:rsid w:val="006034FD"/>
    <w:rsid w:val="00603AE1"/>
    <w:rsid w:val="006044D0"/>
    <w:rsid w:val="006047E9"/>
    <w:rsid w:val="006048DC"/>
    <w:rsid w:val="00604C74"/>
    <w:rsid w:val="00605198"/>
    <w:rsid w:val="0060548B"/>
    <w:rsid w:val="0060550B"/>
    <w:rsid w:val="00607594"/>
    <w:rsid w:val="006077E7"/>
    <w:rsid w:val="00607EC6"/>
    <w:rsid w:val="006102A1"/>
    <w:rsid w:val="006105E3"/>
    <w:rsid w:val="006105F7"/>
    <w:rsid w:val="006108D6"/>
    <w:rsid w:val="00610A51"/>
    <w:rsid w:val="00611001"/>
    <w:rsid w:val="006112BA"/>
    <w:rsid w:val="0061151A"/>
    <w:rsid w:val="00611794"/>
    <w:rsid w:val="006118AA"/>
    <w:rsid w:val="00612942"/>
    <w:rsid w:val="006131EC"/>
    <w:rsid w:val="0061332C"/>
    <w:rsid w:val="00613493"/>
    <w:rsid w:val="006136A5"/>
    <w:rsid w:val="006138E7"/>
    <w:rsid w:val="00613A1A"/>
    <w:rsid w:val="006143CB"/>
    <w:rsid w:val="006145A5"/>
    <w:rsid w:val="00614F1A"/>
    <w:rsid w:val="0061502E"/>
    <w:rsid w:val="00615659"/>
    <w:rsid w:val="00615DA9"/>
    <w:rsid w:val="0061650D"/>
    <w:rsid w:val="00617C89"/>
    <w:rsid w:val="00617DB8"/>
    <w:rsid w:val="00617F84"/>
    <w:rsid w:val="00617FCE"/>
    <w:rsid w:val="00620B54"/>
    <w:rsid w:val="00620C7F"/>
    <w:rsid w:val="00620E6B"/>
    <w:rsid w:val="00620EF2"/>
    <w:rsid w:val="0062167D"/>
    <w:rsid w:val="00621B4B"/>
    <w:rsid w:val="00621D5A"/>
    <w:rsid w:val="00622A38"/>
    <w:rsid w:val="0062337C"/>
    <w:rsid w:val="00623828"/>
    <w:rsid w:val="00623DEF"/>
    <w:rsid w:val="00624041"/>
    <w:rsid w:val="006244F3"/>
    <w:rsid w:val="006245F1"/>
    <w:rsid w:val="00624605"/>
    <w:rsid w:val="00624E04"/>
    <w:rsid w:val="00625555"/>
    <w:rsid w:val="00625938"/>
    <w:rsid w:val="00625953"/>
    <w:rsid w:val="00625DFF"/>
    <w:rsid w:val="00625F9C"/>
    <w:rsid w:val="006261A6"/>
    <w:rsid w:val="00626438"/>
    <w:rsid w:val="00626605"/>
    <w:rsid w:val="006266E4"/>
    <w:rsid w:val="006266E7"/>
    <w:rsid w:val="00626B56"/>
    <w:rsid w:val="00627119"/>
    <w:rsid w:val="006271AC"/>
    <w:rsid w:val="006276FC"/>
    <w:rsid w:val="00627729"/>
    <w:rsid w:val="00627A98"/>
    <w:rsid w:val="00627CCC"/>
    <w:rsid w:val="00627D32"/>
    <w:rsid w:val="00627E37"/>
    <w:rsid w:val="00627F0A"/>
    <w:rsid w:val="00630C7A"/>
    <w:rsid w:val="006310BB"/>
    <w:rsid w:val="006311F2"/>
    <w:rsid w:val="00632844"/>
    <w:rsid w:val="00632DF1"/>
    <w:rsid w:val="0063306F"/>
    <w:rsid w:val="0063376E"/>
    <w:rsid w:val="00633C97"/>
    <w:rsid w:val="00633DDE"/>
    <w:rsid w:val="00634270"/>
    <w:rsid w:val="006347CB"/>
    <w:rsid w:val="00634992"/>
    <w:rsid w:val="006359B9"/>
    <w:rsid w:val="00635EAE"/>
    <w:rsid w:val="00636322"/>
    <w:rsid w:val="00636475"/>
    <w:rsid w:val="00636A6A"/>
    <w:rsid w:val="00636C7C"/>
    <w:rsid w:val="006371AD"/>
    <w:rsid w:val="00637292"/>
    <w:rsid w:val="006372E2"/>
    <w:rsid w:val="00637330"/>
    <w:rsid w:val="00637E82"/>
    <w:rsid w:val="00640264"/>
    <w:rsid w:val="00640DE2"/>
    <w:rsid w:val="006410F5"/>
    <w:rsid w:val="00642CBA"/>
    <w:rsid w:val="0064349B"/>
    <w:rsid w:val="00643AC4"/>
    <w:rsid w:val="00643C81"/>
    <w:rsid w:val="0064454F"/>
    <w:rsid w:val="00644A2A"/>
    <w:rsid w:val="0064501E"/>
    <w:rsid w:val="006455C3"/>
    <w:rsid w:val="00645C36"/>
    <w:rsid w:val="00645F29"/>
    <w:rsid w:val="006460F9"/>
    <w:rsid w:val="0064644A"/>
    <w:rsid w:val="00646D0A"/>
    <w:rsid w:val="006476CB"/>
    <w:rsid w:val="00647CBC"/>
    <w:rsid w:val="0065016A"/>
    <w:rsid w:val="00650736"/>
    <w:rsid w:val="00650939"/>
    <w:rsid w:val="00650B61"/>
    <w:rsid w:val="006517A3"/>
    <w:rsid w:val="0065210B"/>
    <w:rsid w:val="0065230E"/>
    <w:rsid w:val="00652877"/>
    <w:rsid w:val="00652EFA"/>
    <w:rsid w:val="00653BBF"/>
    <w:rsid w:val="006540AA"/>
    <w:rsid w:val="006541E7"/>
    <w:rsid w:val="00655693"/>
    <w:rsid w:val="00656299"/>
    <w:rsid w:val="0065635E"/>
    <w:rsid w:val="00656A11"/>
    <w:rsid w:val="006574B8"/>
    <w:rsid w:val="00660406"/>
    <w:rsid w:val="00660868"/>
    <w:rsid w:val="006610E9"/>
    <w:rsid w:val="00662314"/>
    <w:rsid w:val="00662D57"/>
    <w:rsid w:val="0066328A"/>
    <w:rsid w:val="006640EE"/>
    <w:rsid w:val="00665419"/>
    <w:rsid w:val="00665AAC"/>
    <w:rsid w:val="00666111"/>
    <w:rsid w:val="006662FC"/>
    <w:rsid w:val="00667044"/>
    <w:rsid w:val="006673E9"/>
    <w:rsid w:val="00667BB6"/>
    <w:rsid w:val="00670061"/>
    <w:rsid w:val="00670103"/>
    <w:rsid w:val="00670230"/>
    <w:rsid w:val="006716DB"/>
    <w:rsid w:val="006721FD"/>
    <w:rsid w:val="006725B2"/>
    <w:rsid w:val="00672980"/>
    <w:rsid w:val="00673169"/>
    <w:rsid w:val="0067366D"/>
    <w:rsid w:val="006736B2"/>
    <w:rsid w:val="00673E7A"/>
    <w:rsid w:val="00673FA8"/>
    <w:rsid w:val="00674985"/>
    <w:rsid w:val="00674A42"/>
    <w:rsid w:val="00674D03"/>
    <w:rsid w:val="00674F44"/>
    <w:rsid w:val="00675291"/>
    <w:rsid w:val="00675A02"/>
    <w:rsid w:val="006760A8"/>
    <w:rsid w:val="00676B4E"/>
    <w:rsid w:val="00676F7E"/>
    <w:rsid w:val="0067711E"/>
    <w:rsid w:val="00680560"/>
    <w:rsid w:val="006806AC"/>
    <w:rsid w:val="00681010"/>
    <w:rsid w:val="006819F3"/>
    <w:rsid w:val="00681F7F"/>
    <w:rsid w:val="0068204D"/>
    <w:rsid w:val="0068270B"/>
    <w:rsid w:val="00682C49"/>
    <w:rsid w:val="006831B8"/>
    <w:rsid w:val="0068346B"/>
    <w:rsid w:val="006836C0"/>
    <w:rsid w:val="00683AAA"/>
    <w:rsid w:val="00683D8C"/>
    <w:rsid w:val="00684733"/>
    <w:rsid w:val="00684BA5"/>
    <w:rsid w:val="00684CC5"/>
    <w:rsid w:val="0068568D"/>
    <w:rsid w:val="00685824"/>
    <w:rsid w:val="006858BF"/>
    <w:rsid w:val="00685CCA"/>
    <w:rsid w:val="00686717"/>
    <w:rsid w:val="00686DBD"/>
    <w:rsid w:val="00690458"/>
    <w:rsid w:val="0069067E"/>
    <w:rsid w:val="006907A5"/>
    <w:rsid w:val="00690EC9"/>
    <w:rsid w:val="00691882"/>
    <w:rsid w:val="00691A0D"/>
    <w:rsid w:val="00691C7F"/>
    <w:rsid w:val="00691E78"/>
    <w:rsid w:val="00691FD5"/>
    <w:rsid w:val="006927E1"/>
    <w:rsid w:val="00692B97"/>
    <w:rsid w:val="00693101"/>
    <w:rsid w:val="0069383E"/>
    <w:rsid w:val="00693B6E"/>
    <w:rsid w:val="006941A7"/>
    <w:rsid w:val="00694206"/>
    <w:rsid w:val="0069567F"/>
    <w:rsid w:val="00695E69"/>
    <w:rsid w:val="006962DA"/>
    <w:rsid w:val="00696BE9"/>
    <w:rsid w:val="0069775C"/>
    <w:rsid w:val="00697C1C"/>
    <w:rsid w:val="006A04F8"/>
    <w:rsid w:val="006A16B5"/>
    <w:rsid w:val="006A17E4"/>
    <w:rsid w:val="006A1B5D"/>
    <w:rsid w:val="006A23C4"/>
    <w:rsid w:val="006A32B4"/>
    <w:rsid w:val="006A366F"/>
    <w:rsid w:val="006A38DC"/>
    <w:rsid w:val="006A3A86"/>
    <w:rsid w:val="006A4037"/>
    <w:rsid w:val="006A40B5"/>
    <w:rsid w:val="006A44F4"/>
    <w:rsid w:val="006A4E5D"/>
    <w:rsid w:val="006A5318"/>
    <w:rsid w:val="006A57EB"/>
    <w:rsid w:val="006A6022"/>
    <w:rsid w:val="006A648A"/>
    <w:rsid w:val="006A6976"/>
    <w:rsid w:val="006A7657"/>
    <w:rsid w:val="006A7701"/>
    <w:rsid w:val="006A77CF"/>
    <w:rsid w:val="006B00DE"/>
    <w:rsid w:val="006B0677"/>
    <w:rsid w:val="006B079A"/>
    <w:rsid w:val="006B0D34"/>
    <w:rsid w:val="006B185F"/>
    <w:rsid w:val="006B2196"/>
    <w:rsid w:val="006B223B"/>
    <w:rsid w:val="006B239E"/>
    <w:rsid w:val="006B253E"/>
    <w:rsid w:val="006B26DB"/>
    <w:rsid w:val="006B2DB5"/>
    <w:rsid w:val="006B2E5D"/>
    <w:rsid w:val="006B36BF"/>
    <w:rsid w:val="006B4B53"/>
    <w:rsid w:val="006B4C2F"/>
    <w:rsid w:val="006B4F44"/>
    <w:rsid w:val="006B516B"/>
    <w:rsid w:val="006B5D85"/>
    <w:rsid w:val="006B5DE9"/>
    <w:rsid w:val="006B608F"/>
    <w:rsid w:val="006B7457"/>
    <w:rsid w:val="006B7757"/>
    <w:rsid w:val="006B785E"/>
    <w:rsid w:val="006B786C"/>
    <w:rsid w:val="006B7A7F"/>
    <w:rsid w:val="006C05C1"/>
    <w:rsid w:val="006C0A6E"/>
    <w:rsid w:val="006C0D79"/>
    <w:rsid w:val="006C1265"/>
    <w:rsid w:val="006C13D5"/>
    <w:rsid w:val="006C1602"/>
    <w:rsid w:val="006C17C1"/>
    <w:rsid w:val="006C275E"/>
    <w:rsid w:val="006C2AD3"/>
    <w:rsid w:val="006C2B9C"/>
    <w:rsid w:val="006C3265"/>
    <w:rsid w:val="006C36A1"/>
    <w:rsid w:val="006C3CAF"/>
    <w:rsid w:val="006C4100"/>
    <w:rsid w:val="006C42E6"/>
    <w:rsid w:val="006C5413"/>
    <w:rsid w:val="006C5644"/>
    <w:rsid w:val="006C5923"/>
    <w:rsid w:val="006C5A30"/>
    <w:rsid w:val="006C5D4C"/>
    <w:rsid w:val="006C625B"/>
    <w:rsid w:val="006C63AC"/>
    <w:rsid w:val="006C70F2"/>
    <w:rsid w:val="006D0000"/>
    <w:rsid w:val="006D02FB"/>
    <w:rsid w:val="006D0410"/>
    <w:rsid w:val="006D0973"/>
    <w:rsid w:val="006D0C0D"/>
    <w:rsid w:val="006D0E30"/>
    <w:rsid w:val="006D0EE3"/>
    <w:rsid w:val="006D16EE"/>
    <w:rsid w:val="006D1BCE"/>
    <w:rsid w:val="006D2D37"/>
    <w:rsid w:val="006D30A2"/>
    <w:rsid w:val="006D3C16"/>
    <w:rsid w:val="006D47D8"/>
    <w:rsid w:val="006D646E"/>
    <w:rsid w:val="006D6DB8"/>
    <w:rsid w:val="006D7000"/>
    <w:rsid w:val="006D703F"/>
    <w:rsid w:val="006D74D3"/>
    <w:rsid w:val="006D7E7D"/>
    <w:rsid w:val="006E0224"/>
    <w:rsid w:val="006E0618"/>
    <w:rsid w:val="006E1041"/>
    <w:rsid w:val="006E1DD7"/>
    <w:rsid w:val="006E1DF8"/>
    <w:rsid w:val="006E3AB2"/>
    <w:rsid w:val="006E3C9A"/>
    <w:rsid w:val="006E401F"/>
    <w:rsid w:val="006E4471"/>
    <w:rsid w:val="006E4659"/>
    <w:rsid w:val="006E4791"/>
    <w:rsid w:val="006E536E"/>
    <w:rsid w:val="006E589B"/>
    <w:rsid w:val="006E5BD8"/>
    <w:rsid w:val="006E6239"/>
    <w:rsid w:val="006E6923"/>
    <w:rsid w:val="006E7BCA"/>
    <w:rsid w:val="006F0659"/>
    <w:rsid w:val="006F0BE4"/>
    <w:rsid w:val="006F0DA7"/>
    <w:rsid w:val="006F141F"/>
    <w:rsid w:val="006F14E6"/>
    <w:rsid w:val="006F266C"/>
    <w:rsid w:val="006F29E3"/>
    <w:rsid w:val="006F2E5D"/>
    <w:rsid w:val="006F3120"/>
    <w:rsid w:val="006F3183"/>
    <w:rsid w:val="006F36E6"/>
    <w:rsid w:val="006F45F3"/>
    <w:rsid w:val="006F4798"/>
    <w:rsid w:val="006F479E"/>
    <w:rsid w:val="006F6320"/>
    <w:rsid w:val="006F65D8"/>
    <w:rsid w:val="006F685D"/>
    <w:rsid w:val="006F6916"/>
    <w:rsid w:val="00700665"/>
    <w:rsid w:val="00700EFA"/>
    <w:rsid w:val="00700FA1"/>
    <w:rsid w:val="0070128F"/>
    <w:rsid w:val="00701343"/>
    <w:rsid w:val="00701732"/>
    <w:rsid w:val="0070274D"/>
    <w:rsid w:val="00702FEF"/>
    <w:rsid w:val="00703AD4"/>
    <w:rsid w:val="00703B34"/>
    <w:rsid w:val="00705D33"/>
    <w:rsid w:val="00705E75"/>
    <w:rsid w:val="00705F1C"/>
    <w:rsid w:val="007067AD"/>
    <w:rsid w:val="00707ADB"/>
    <w:rsid w:val="00707F99"/>
    <w:rsid w:val="007100C8"/>
    <w:rsid w:val="007101E8"/>
    <w:rsid w:val="007106FB"/>
    <w:rsid w:val="007109DF"/>
    <w:rsid w:val="00710CF7"/>
    <w:rsid w:val="00710D6E"/>
    <w:rsid w:val="00711113"/>
    <w:rsid w:val="00711197"/>
    <w:rsid w:val="00711499"/>
    <w:rsid w:val="00711BCE"/>
    <w:rsid w:val="00711F32"/>
    <w:rsid w:val="0071208B"/>
    <w:rsid w:val="007120BF"/>
    <w:rsid w:val="00712118"/>
    <w:rsid w:val="0071291B"/>
    <w:rsid w:val="00712D68"/>
    <w:rsid w:val="00713B73"/>
    <w:rsid w:val="00713CF0"/>
    <w:rsid w:val="00714780"/>
    <w:rsid w:val="00714D25"/>
    <w:rsid w:val="007151B4"/>
    <w:rsid w:val="007153E2"/>
    <w:rsid w:val="007159C8"/>
    <w:rsid w:val="0071605B"/>
    <w:rsid w:val="007164F7"/>
    <w:rsid w:val="00716585"/>
    <w:rsid w:val="00716871"/>
    <w:rsid w:val="00716A0C"/>
    <w:rsid w:val="0071740F"/>
    <w:rsid w:val="0071751B"/>
    <w:rsid w:val="007175E6"/>
    <w:rsid w:val="00717C99"/>
    <w:rsid w:val="00720206"/>
    <w:rsid w:val="00720677"/>
    <w:rsid w:val="007207E7"/>
    <w:rsid w:val="00721783"/>
    <w:rsid w:val="00721910"/>
    <w:rsid w:val="00721977"/>
    <w:rsid w:val="00721A4E"/>
    <w:rsid w:val="00721C04"/>
    <w:rsid w:val="00722027"/>
    <w:rsid w:val="00722CE8"/>
    <w:rsid w:val="00722D4F"/>
    <w:rsid w:val="00723689"/>
    <w:rsid w:val="00723986"/>
    <w:rsid w:val="00723D68"/>
    <w:rsid w:val="00723F56"/>
    <w:rsid w:val="007241A4"/>
    <w:rsid w:val="007243C6"/>
    <w:rsid w:val="00724874"/>
    <w:rsid w:val="0072561F"/>
    <w:rsid w:val="00725720"/>
    <w:rsid w:val="0072593D"/>
    <w:rsid w:val="00725EA2"/>
    <w:rsid w:val="00726178"/>
    <w:rsid w:val="00726235"/>
    <w:rsid w:val="0072638A"/>
    <w:rsid w:val="007279ED"/>
    <w:rsid w:val="00727D51"/>
    <w:rsid w:val="0073004D"/>
    <w:rsid w:val="00730078"/>
    <w:rsid w:val="00730249"/>
    <w:rsid w:val="007302F2"/>
    <w:rsid w:val="007306BB"/>
    <w:rsid w:val="00730BE5"/>
    <w:rsid w:val="007318EE"/>
    <w:rsid w:val="00731A3D"/>
    <w:rsid w:val="007320ED"/>
    <w:rsid w:val="007331C8"/>
    <w:rsid w:val="00733B97"/>
    <w:rsid w:val="00733BC8"/>
    <w:rsid w:val="00734291"/>
    <w:rsid w:val="007348D3"/>
    <w:rsid w:val="00734DCB"/>
    <w:rsid w:val="00735B7F"/>
    <w:rsid w:val="00736FD0"/>
    <w:rsid w:val="00737220"/>
    <w:rsid w:val="00737390"/>
    <w:rsid w:val="007373DE"/>
    <w:rsid w:val="00737A26"/>
    <w:rsid w:val="00737F71"/>
    <w:rsid w:val="0074051D"/>
    <w:rsid w:val="00740906"/>
    <w:rsid w:val="0074155C"/>
    <w:rsid w:val="0074187B"/>
    <w:rsid w:val="00742226"/>
    <w:rsid w:val="00742807"/>
    <w:rsid w:val="00743033"/>
    <w:rsid w:val="00743084"/>
    <w:rsid w:val="0074314E"/>
    <w:rsid w:val="0074354C"/>
    <w:rsid w:val="00743893"/>
    <w:rsid w:val="00743DDC"/>
    <w:rsid w:val="00744027"/>
    <w:rsid w:val="0074411E"/>
    <w:rsid w:val="007442B9"/>
    <w:rsid w:val="007446D7"/>
    <w:rsid w:val="00744A6D"/>
    <w:rsid w:val="00745520"/>
    <w:rsid w:val="00745A12"/>
    <w:rsid w:val="00745C7E"/>
    <w:rsid w:val="00745F24"/>
    <w:rsid w:val="00745F5C"/>
    <w:rsid w:val="00746EBC"/>
    <w:rsid w:val="00747BD5"/>
    <w:rsid w:val="007501FC"/>
    <w:rsid w:val="0075026A"/>
    <w:rsid w:val="00751006"/>
    <w:rsid w:val="007511B4"/>
    <w:rsid w:val="007518CE"/>
    <w:rsid w:val="007519A5"/>
    <w:rsid w:val="00751D85"/>
    <w:rsid w:val="00752BB6"/>
    <w:rsid w:val="00752EFE"/>
    <w:rsid w:val="00753D3E"/>
    <w:rsid w:val="00754156"/>
    <w:rsid w:val="00754A55"/>
    <w:rsid w:val="00754B07"/>
    <w:rsid w:val="007552A3"/>
    <w:rsid w:val="00755592"/>
    <w:rsid w:val="00755DD5"/>
    <w:rsid w:val="00755FCD"/>
    <w:rsid w:val="00756A8E"/>
    <w:rsid w:val="0075760F"/>
    <w:rsid w:val="00757B27"/>
    <w:rsid w:val="00760057"/>
    <w:rsid w:val="007605B6"/>
    <w:rsid w:val="007606DB"/>
    <w:rsid w:val="00760DEE"/>
    <w:rsid w:val="00761273"/>
    <w:rsid w:val="0076132C"/>
    <w:rsid w:val="00762539"/>
    <w:rsid w:val="00762954"/>
    <w:rsid w:val="00762EDB"/>
    <w:rsid w:val="00763500"/>
    <w:rsid w:val="00763CA4"/>
    <w:rsid w:val="00763DA0"/>
    <w:rsid w:val="00763E2C"/>
    <w:rsid w:val="0076416D"/>
    <w:rsid w:val="00764A02"/>
    <w:rsid w:val="00764A57"/>
    <w:rsid w:val="00764C05"/>
    <w:rsid w:val="00764D30"/>
    <w:rsid w:val="00766023"/>
    <w:rsid w:val="007662EC"/>
    <w:rsid w:val="0076654C"/>
    <w:rsid w:val="0076665F"/>
    <w:rsid w:val="00766723"/>
    <w:rsid w:val="0076733A"/>
    <w:rsid w:val="00767342"/>
    <w:rsid w:val="00767A41"/>
    <w:rsid w:val="007702C0"/>
    <w:rsid w:val="007716E3"/>
    <w:rsid w:val="007719EA"/>
    <w:rsid w:val="00771CCA"/>
    <w:rsid w:val="00771D96"/>
    <w:rsid w:val="007720AC"/>
    <w:rsid w:val="00772AEA"/>
    <w:rsid w:val="00773485"/>
    <w:rsid w:val="007737C4"/>
    <w:rsid w:val="00773C0D"/>
    <w:rsid w:val="00773DF5"/>
    <w:rsid w:val="00773FE0"/>
    <w:rsid w:val="00774012"/>
    <w:rsid w:val="00774510"/>
    <w:rsid w:val="0077555F"/>
    <w:rsid w:val="00775B5A"/>
    <w:rsid w:val="00775D90"/>
    <w:rsid w:val="00776127"/>
    <w:rsid w:val="007763BB"/>
    <w:rsid w:val="00777170"/>
    <w:rsid w:val="00777C07"/>
    <w:rsid w:val="00780150"/>
    <w:rsid w:val="0078096B"/>
    <w:rsid w:val="0078187C"/>
    <w:rsid w:val="00781A5F"/>
    <w:rsid w:val="00781D6E"/>
    <w:rsid w:val="00782150"/>
    <w:rsid w:val="00782608"/>
    <w:rsid w:val="00782812"/>
    <w:rsid w:val="00782ACC"/>
    <w:rsid w:val="007830DE"/>
    <w:rsid w:val="00783A81"/>
    <w:rsid w:val="00783D00"/>
    <w:rsid w:val="00783DFA"/>
    <w:rsid w:val="00784239"/>
    <w:rsid w:val="0078479C"/>
    <w:rsid w:val="007852B8"/>
    <w:rsid w:val="007856B7"/>
    <w:rsid w:val="0078596F"/>
    <w:rsid w:val="007869FC"/>
    <w:rsid w:val="007874DF"/>
    <w:rsid w:val="0078753F"/>
    <w:rsid w:val="00790AEE"/>
    <w:rsid w:val="00790B29"/>
    <w:rsid w:val="00790E58"/>
    <w:rsid w:val="00790FE4"/>
    <w:rsid w:val="007911C3"/>
    <w:rsid w:val="00791391"/>
    <w:rsid w:val="00791A02"/>
    <w:rsid w:val="00791B3C"/>
    <w:rsid w:val="00791C0C"/>
    <w:rsid w:val="00792205"/>
    <w:rsid w:val="00792217"/>
    <w:rsid w:val="00792381"/>
    <w:rsid w:val="007929F6"/>
    <w:rsid w:val="00793191"/>
    <w:rsid w:val="007935AE"/>
    <w:rsid w:val="007942F1"/>
    <w:rsid w:val="00794ABD"/>
    <w:rsid w:val="00794DBF"/>
    <w:rsid w:val="00795583"/>
    <w:rsid w:val="00795692"/>
    <w:rsid w:val="0079569A"/>
    <w:rsid w:val="007956C6"/>
    <w:rsid w:val="00795734"/>
    <w:rsid w:val="007960E3"/>
    <w:rsid w:val="007965E3"/>
    <w:rsid w:val="00796864"/>
    <w:rsid w:val="007976D8"/>
    <w:rsid w:val="007A0237"/>
    <w:rsid w:val="007A0E75"/>
    <w:rsid w:val="007A0EAC"/>
    <w:rsid w:val="007A0EBA"/>
    <w:rsid w:val="007A10CA"/>
    <w:rsid w:val="007A1222"/>
    <w:rsid w:val="007A14F1"/>
    <w:rsid w:val="007A1525"/>
    <w:rsid w:val="007A1622"/>
    <w:rsid w:val="007A19CA"/>
    <w:rsid w:val="007A21A1"/>
    <w:rsid w:val="007A3BA0"/>
    <w:rsid w:val="007A3D1C"/>
    <w:rsid w:val="007A43D8"/>
    <w:rsid w:val="007A474D"/>
    <w:rsid w:val="007A5822"/>
    <w:rsid w:val="007A5AB4"/>
    <w:rsid w:val="007A65A4"/>
    <w:rsid w:val="007A6AB1"/>
    <w:rsid w:val="007A6B6A"/>
    <w:rsid w:val="007A72BE"/>
    <w:rsid w:val="007B0A13"/>
    <w:rsid w:val="007B159D"/>
    <w:rsid w:val="007B1BEA"/>
    <w:rsid w:val="007B1D22"/>
    <w:rsid w:val="007B1E70"/>
    <w:rsid w:val="007B1F05"/>
    <w:rsid w:val="007B2011"/>
    <w:rsid w:val="007B2140"/>
    <w:rsid w:val="007B257C"/>
    <w:rsid w:val="007B2605"/>
    <w:rsid w:val="007B27F6"/>
    <w:rsid w:val="007B287D"/>
    <w:rsid w:val="007B28DD"/>
    <w:rsid w:val="007B2989"/>
    <w:rsid w:val="007B2F69"/>
    <w:rsid w:val="007B314A"/>
    <w:rsid w:val="007B3574"/>
    <w:rsid w:val="007B3892"/>
    <w:rsid w:val="007B38E7"/>
    <w:rsid w:val="007B42BF"/>
    <w:rsid w:val="007B440B"/>
    <w:rsid w:val="007B4499"/>
    <w:rsid w:val="007B44EA"/>
    <w:rsid w:val="007B59C1"/>
    <w:rsid w:val="007B5F8B"/>
    <w:rsid w:val="007B7045"/>
    <w:rsid w:val="007B713D"/>
    <w:rsid w:val="007B7E9F"/>
    <w:rsid w:val="007C0279"/>
    <w:rsid w:val="007C0DD7"/>
    <w:rsid w:val="007C1071"/>
    <w:rsid w:val="007C1335"/>
    <w:rsid w:val="007C140C"/>
    <w:rsid w:val="007C2497"/>
    <w:rsid w:val="007C2522"/>
    <w:rsid w:val="007C3078"/>
    <w:rsid w:val="007C3598"/>
    <w:rsid w:val="007C3702"/>
    <w:rsid w:val="007C3DA8"/>
    <w:rsid w:val="007C47A3"/>
    <w:rsid w:val="007C4997"/>
    <w:rsid w:val="007C5055"/>
    <w:rsid w:val="007C5FE4"/>
    <w:rsid w:val="007C61EF"/>
    <w:rsid w:val="007C62E6"/>
    <w:rsid w:val="007C6A1E"/>
    <w:rsid w:val="007C7EBA"/>
    <w:rsid w:val="007D00D6"/>
    <w:rsid w:val="007D093A"/>
    <w:rsid w:val="007D09F6"/>
    <w:rsid w:val="007D0BEB"/>
    <w:rsid w:val="007D15FE"/>
    <w:rsid w:val="007D18F8"/>
    <w:rsid w:val="007D1D3B"/>
    <w:rsid w:val="007D21E6"/>
    <w:rsid w:val="007D225F"/>
    <w:rsid w:val="007D23A1"/>
    <w:rsid w:val="007D24F1"/>
    <w:rsid w:val="007D2CA0"/>
    <w:rsid w:val="007D35D1"/>
    <w:rsid w:val="007D3BB2"/>
    <w:rsid w:val="007D41E2"/>
    <w:rsid w:val="007D44C2"/>
    <w:rsid w:val="007D4B64"/>
    <w:rsid w:val="007D4F14"/>
    <w:rsid w:val="007D523B"/>
    <w:rsid w:val="007D54D9"/>
    <w:rsid w:val="007D5E14"/>
    <w:rsid w:val="007D5F22"/>
    <w:rsid w:val="007D648A"/>
    <w:rsid w:val="007D64CE"/>
    <w:rsid w:val="007D665D"/>
    <w:rsid w:val="007D6F92"/>
    <w:rsid w:val="007D7433"/>
    <w:rsid w:val="007D7806"/>
    <w:rsid w:val="007D7E60"/>
    <w:rsid w:val="007E06E9"/>
    <w:rsid w:val="007E072A"/>
    <w:rsid w:val="007E0CD9"/>
    <w:rsid w:val="007E11B0"/>
    <w:rsid w:val="007E11F1"/>
    <w:rsid w:val="007E18E2"/>
    <w:rsid w:val="007E2748"/>
    <w:rsid w:val="007E3DBB"/>
    <w:rsid w:val="007E4202"/>
    <w:rsid w:val="007E430D"/>
    <w:rsid w:val="007E483A"/>
    <w:rsid w:val="007E4F9D"/>
    <w:rsid w:val="007E5E9A"/>
    <w:rsid w:val="007E62E5"/>
    <w:rsid w:val="007E6ED3"/>
    <w:rsid w:val="007E779A"/>
    <w:rsid w:val="007E7A0A"/>
    <w:rsid w:val="007F075E"/>
    <w:rsid w:val="007F0A13"/>
    <w:rsid w:val="007F0EAE"/>
    <w:rsid w:val="007F0F11"/>
    <w:rsid w:val="007F2598"/>
    <w:rsid w:val="007F3063"/>
    <w:rsid w:val="007F36CA"/>
    <w:rsid w:val="007F37AB"/>
    <w:rsid w:val="007F3A5A"/>
    <w:rsid w:val="007F3D30"/>
    <w:rsid w:val="007F4386"/>
    <w:rsid w:val="007F43EB"/>
    <w:rsid w:val="007F4A87"/>
    <w:rsid w:val="007F6518"/>
    <w:rsid w:val="007F65B2"/>
    <w:rsid w:val="007F65E7"/>
    <w:rsid w:val="007F673B"/>
    <w:rsid w:val="007F67CE"/>
    <w:rsid w:val="007F6C8E"/>
    <w:rsid w:val="007F75B7"/>
    <w:rsid w:val="007F769E"/>
    <w:rsid w:val="008002AA"/>
    <w:rsid w:val="00800E74"/>
    <w:rsid w:val="0080107F"/>
    <w:rsid w:val="008010F0"/>
    <w:rsid w:val="008018E7"/>
    <w:rsid w:val="00801998"/>
    <w:rsid w:val="008020B1"/>
    <w:rsid w:val="00803047"/>
    <w:rsid w:val="008034A9"/>
    <w:rsid w:val="008036DF"/>
    <w:rsid w:val="00803D14"/>
    <w:rsid w:val="00803FFE"/>
    <w:rsid w:val="00804640"/>
    <w:rsid w:val="00804F35"/>
    <w:rsid w:val="00806313"/>
    <w:rsid w:val="00806372"/>
    <w:rsid w:val="0080675C"/>
    <w:rsid w:val="0080698B"/>
    <w:rsid w:val="00806A86"/>
    <w:rsid w:val="00806A8E"/>
    <w:rsid w:val="00806AEE"/>
    <w:rsid w:val="00806D3C"/>
    <w:rsid w:val="00806E79"/>
    <w:rsid w:val="008076DA"/>
    <w:rsid w:val="0080796B"/>
    <w:rsid w:val="0081007D"/>
    <w:rsid w:val="00810492"/>
    <w:rsid w:val="00810CC5"/>
    <w:rsid w:val="00810E5D"/>
    <w:rsid w:val="00811024"/>
    <w:rsid w:val="008115BE"/>
    <w:rsid w:val="0081183C"/>
    <w:rsid w:val="00811AFF"/>
    <w:rsid w:val="00811E64"/>
    <w:rsid w:val="00812E67"/>
    <w:rsid w:val="00812ECF"/>
    <w:rsid w:val="00814136"/>
    <w:rsid w:val="0081433F"/>
    <w:rsid w:val="008152C6"/>
    <w:rsid w:val="008153C9"/>
    <w:rsid w:val="00815652"/>
    <w:rsid w:val="008157E4"/>
    <w:rsid w:val="008159F4"/>
    <w:rsid w:val="008170D1"/>
    <w:rsid w:val="00817252"/>
    <w:rsid w:val="00817379"/>
    <w:rsid w:val="00817801"/>
    <w:rsid w:val="008205D4"/>
    <w:rsid w:val="008213D5"/>
    <w:rsid w:val="0082150A"/>
    <w:rsid w:val="00821520"/>
    <w:rsid w:val="00821550"/>
    <w:rsid w:val="008216BB"/>
    <w:rsid w:val="00822AAE"/>
    <w:rsid w:val="00822CE4"/>
    <w:rsid w:val="008232BA"/>
    <w:rsid w:val="0082332A"/>
    <w:rsid w:val="008239D3"/>
    <w:rsid w:val="00823D29"/>
    <w:rsid w:val="0082429F"/>
    <w:rsid w:val="008242DA"/>
    <w:rsid w:val="00824514"/>
    <w:rsid w:val="008245C5"/>
    <w:rsid w:val="00824F8B"/>
    <w:rsid w:val="00824F95"/>
    <w:rsid w:val="008256C7"/>
    <w:rsid w:val="00826467"/>
    <w:rsid w:val="0082646D"/>
    <w:rsid w:val="00826839"/>
    <w:rsid w:val="0082691F"/>
    <w:rsid w:val="00826BD6"/>
    <w:rsid w:val="00826D81"/>
    <w:rsid w:val="0082710C"/>
    <w:rsid w:val="00827124"/>
    <w:rsid w:val="0082762B"/>
    <w:rsid w:val="008302F0"/>
    <w:rsid w:val="0083034D"/>
    <w:rsid w:val="008304EF"/>
    <w:rsid w:val="00830A7A"/>
    <w:rsid w:val="00830E22"/>
    <w:rsid w:val="00830F88"/>
    <w:rsid w:val="0083199C"/>
    <w:rsid w:val="008319DD"/>
    <w:rsid w:val="00831BC0"/>
    <w:rsid w:val="00831CC6"/>
    <w:rsid w:val="00831D66"/>
    <w:rsid w:val="0083227B"/>
    <w:rsid w:val="00833B33"/>
    <w:rsid w:val="00833D1B"/>
    <w:rsid w:val="0083404A"/>
    <w:rsid w:val="008347C7"/>
    <w:rsid w:val="0083538F"/>
    <w:rsid w:val="00836D8E"/>
    <w:rsid w:val="00836ED6"/>
    <w:rsid w:val="00836EE1"/>
    <w:rsid w:val="00837A38"/>
    <w:rsid w:val="00837B5A"/>
    <w:rsid w:val="00837FF3"/>
    <w:rsid w:val="00840200"/>
    <w:rsid w:val="00841190"/>
    <w:rsid w:val="00841621"/>
    <w:rsid w:val="00841AC0"/>
    <w:rsid w:val="00841D03"/>
    <w:rsid w:val="00841E1A"/>
    <w:rsid w:val="00841E85"/>
    <w:rsid w:val="00841F38"/>
    <w:rsid w:val="00842DD6"/>
    <w:rsid w:val="00843241"/>
    <w:rsid w:val="00844810"/>
    <w:rsid w:val="00844BC6"/>
    <w:rsid w:val="00845525"/>
    <w:rsid w:val="00845A9F"/>
    <w:rsid w:val="00845C40"/>
    <w:rsid w:val="008460C5"/>
    <w:rsid w:val="00846B4F"/>
    <w:rsid w:val="008478A5"/>
    <w:rsid w:val="00847A9E"/>
    <w:rsid w:val="00847B43"/>
    <w:rsid w:val="00847EA4"/>
    <w:rsid w:val="00850F59"/>
    <w:rsid w:val="0085111C"/>
    <w:rsid w:val="008519E2"/>
    <w:rsid w:val="00851C62"/>
    <w:rsid w:val="00851E2C"/>
    <w:rsid w:val="008520B2"/>
    <w:rsid w:val="0085213E"/>
    <w:rsid w:val="008522B7"/>
    <w:rsid w:val="008525C1"/>
    <w:rsid w:val="008525F2"/>
    <w:rsid w:val="00852954"/>
    <w:rsid w:val="008529A2"/>
    <w:rsid w:val="00852F6A"/>
    <w:rsid w:val="00853042"/>
    <w:rsid w:val="00853321"/>
    <w:rsid w:val="00853538"/>
    <w:rsid w:val="00854A6D"/>
    <w:rsid w:val="00854E6D"/>
    <w:rsid w:val="00855D81"/>
    <w:rsid w:val="00855EFF"/>
    <w:rsid w:val="00856C4E"/>
    <w:rsid w:val="00856E4D"/>
    <w:rsid w:val="008571CC"/>
    <w:rsid w:val="008576EF"/>
    <w:rsid w:val="00857A79"/>
    <w:rsid w:val="00857D59"/>
    <w:rsid w:val="0086070C"/>
    <w:rsid w:val="00860D86"/>
    <w:rsid w:val="00861059"/>
    <w:rsid w:val="00861254"/>
    <w:rsid w:val="00861DDF"/>
    <w:rsid w:val="00863295"/>
    <w:rsid w:val="008633A1"/>
    <w:rsid w:val="00863936"/>
    <w:rsid w:val="00863D08"/>
    <w:rsid w:val="00864417"/>
    <w:rsid w:val="00864877"/>
    <w:rsid w:val="008648FC"/>
    <w:rsid w:val="00864D71"/>
    <w:rsid w:val="00864D72"/>
    <w:rsid w:val="00864E46"/>
    <w:rsid w:val="00865228"/>
    <w:rsid w:val="00865388"/>
    <w:rsid w:val="008653B0"/>
    <w:rsid w:val="008658D7"/>
    <w:rsid w:val="008659C6"/>
    <w:rsid w:val="00866564"/>
    <w:rsid w:val="00866922"/>
    <w:rsid w:val="00866CF9"/>
    <w:rsid w:val="00870ACF"/>
    <w:rsid w:val="00871930"/>
    <w:rsid w:val="00871B4B"/>
    <w:rsid w:val="00871B9F"/>
    <w:rsid w:val="00871ED5"/>
    <w:rsid w:val="00872010"/>
    <w:rsid w:val="0087283F"/>
    <w:rsid w:val="00872B06"/>
    <w:rsid w:val="00872D38"/>
    <w:rsid w:val="00873144"/>
    <w:rsid w:val="00873326"/>
    <w:rsid w:val="0087368E"/>
    <w:rsid w:val="008736CA"/>
    <w:rsid w:val="00874072"/>
    <w:rsid w:val="00874147"/>
    <w:rsid w:val="00874AEC"/>
    <w:rsid w:val="00874F72"/>
    <w:rsid w:val="00875606"/>
    <w:rsid w:val="0087582D"/>
    <w:rsid w:val="00875DF2"/>
    <w:rsid w:val="00876554"/>
    <w:rsid w:val="00876570"/>
    <w:rsid w:val="00876DBC"/>
    <w:rsid w:val="00876FCD"/>
    <w:rsid w:val="0087722F"/>
    <w:rsid w:val="008772A6"/>
    <w:rsid w:val="0087788E"/>
    <w:rsid w:val="0088047D"/>
    <w:rsid w:val="00880656"/>
    <w:rsid w:val="0088089F"/>
    <w:rsid w:val="00881147"/>
    <w:rsid w:val="00881246"/>
    <w:rsid w:val="00881856"/>
    <w:rsid w:val="008824AC"/>
    <w:rsid w:val="00883167"/>
    <w:rsid w:val="0088326D"/>
    <w:rsid w:val="00883313"/>
    <w:rsid w:val="00883582"/>
    <w:rsid w:val="00883812"/>
    <w:rsid w:val="00884CD2"/>
    <w:rsid w:val="00884E6F"/>
    <w:rsid w:val="008852AC"/>
    <w:rsid w:val="00885A9C"/>
    <w:rsid w:val="00885F24"/>
    <w:rsid w:val="0088625D"/>
    <w:rsid w:val="0088629B"/>
    <w:rsid w:val="00886817"/>
    <w:rsid w:val="008869B8"/>
    <w:rsid w:val="008869C2"/>
    <w:rsid w:val="00886D0A"/>
    <w:rsid w:val="00886DDB"/>
    <w:rsid w:val="00887C06"/>
    <w:rsid w:val="00890179"/>
    <w:rsid w:val="00890180"/>
    <w:rsid w:val="00890BC2"/>
    <w:rsid w:val="00890F8B"/>
    <w:rsid w:val="008923B9"/>
    <w:rsid w:val="0089346A"/>
    <w:rsid w:val="008935C4"/>
    <w:rsid w:val="00893973"/>
    <w:rsid w:val="00893A5E"/>
    <w:rsid w:val="00893D1E"/>
    <w:rsid w:val="008942F1"/>
    <w:rsid w:val="00894C2B"/>
    <w:rsid w:val="00895DC0"/>
    <w:rsid w:val="00896860"/>
    <w:rsid w:val="008973A4"/>
    <w:rsid w:val="008975A2"/>
    <w:rsid w:val="008A06C7"/>
    <w:rsid w:val="008A07D4"/>
    <w:rsid w:val="008A0AD8"/>
    <w:rsid w:val="008A196F"/>
    <w:rsid w:val="008A1A74"/>
    <w:rsid w:val="008A1C50"/>
    <w:rsid w:val="008A2362"/>
    <w:rsid w:val="008A2444"/>
    <w:rsid w:val="008A2965"/>
    <w:rsid w:val="008A3445"/>
    <w:rsid w:val="008A3784"/>
    <w:rsid w:val="008A3A9A"/>
    <w:rsid w:val="008A3AF4"/>
    <w:rsid w:val="008A42EF"/>
    <w:rsid w:val="008A4712"/>
    <w:rsid w:val="008A4A80"/>
    <w:rsid w:val="008A4A98"/>
    <w:rsid w:val="008A502A"/>
    <w:rsid w:val="008A557D"/>
    <w:rsid w:val="008A5660"/>
    <w:rsid w:val="008A5750"/>
    <w:rsid w:val="008A618C"/>
    <w:rsid w:val="008A6575"/>
    <w:rsid w:val="008A6AC2"/>
    <w:rsid w:val="008A70FB"/>
    <w:rsid w:val="008A76BD"/>
    <w:rsid w:val="008A7A73"/>
    <w:rsid w:val="008A7D0B"/>
    <w:rsid w:val="008A7D90"/>
    <w:rsid w:val="008B0214"/>
    <w:rsid w:val="008B0574"/>
    <w:rsid w:val="008B082F"/>
    <w:rsid w:val="008B1540"/>
    <w:rsid w:val="008B18E9"/>
    <w:rsid w:val="008B2108"/>
    <w:rsid w:val="008B274D"/>
    <w:rsid w:val="008B3516"/>
    <w:rsid w:val="008B3E57"/>
    <w:rsid w:val="008B3E5E"/>
    <w:rsid w:val="008B41F8"/>
    <w:rsid w:val="008B44E2"/>
    <w:rsid w:val="008B4BA4"/>
    <w:rsid w:val="008B50DE"/>
    <w:rsid w:val="008B5913"/>
    <w:rsid w:val="008B592B"/>
    <w:rsid w:val="008B6FE3"/>
    <w:rsid w:val="008B7772"/>
    <w:rsid w:val="008B79D3"/>
    <w:rsid w:val="008B7BEA"/>
    <w:rsid w:val="008C08C6"/>
    <w:rsid w:val="008C0BF8"/>
    <w:rsid w:val="008C138C"/>
    <w:rsid w:val="008C1407"/>
    <w:rsid w:val="008C1776"/>
    <w:rsid w:val="008C1EA3"/>
    <w:rsid w:val="008C20F7"/>
    <w:rsid w:val="008C2A81"/>
    <w:rsid w:val="008C2D80"/>
    <w:rsid w:val="008C2EEB"/>
    <w:rsid w:val="008C3CE2"/>
    <w:rsid w:val="008C4100"/>
    <w:rsid w:val="008C42DD"/>
    <w:rsid w:val="008C529E"/>
    <w:rsid w:val="008C5F15"/>
    <w:rsid w:val="008C62EA"/>
    <w:rsid w:val="008C7746"/>
    <w:rsid w:val="008C7A1A"/>
    <w:rsid w:val="008C7DE8"/>
    <w:rsid w:val="008C7EDB"/>
    <w:rsid w:val="008D0634"/>
    <w:rsid w:val="008D0638"/>
    <w:rsid w:val="008D0973"/>
    <w:rsid w:val="008D0AD8"/>
    <w:rsid w:val="008D0F47"/>
    <w:rsid w:val="008D1020"/>
    <w:rsid w:val="008D13D7"/>
    <w:rsid w:val="008D1D69"/>
    <w:rsid w:val="008D265F"/>
    <w:rsid w:val="008D2A31"/>
    <w:rsid w:val="008D2E31"/>
    <w:rsid w:val="008D3667"/>
    <w:rsid w:val="008D4260"/>
    <w:rsid w:val="008D516A"/>
    <w:rsid w:val="008D60C0"/>
    <w:rsid w:val="008D6716"/>
    <w:rsid w:val="008D6B94"/>
    <w:rsid w:val="008D705F"/>
    <w:rsid w:val="008D73FA"/>
    <w:rsid w:val="008D7656"/>
    <w:rsid w:val="008D7834"/>
    <w:rsid w:val="008E125B"/>
    <w:rsid w:val="008E12D0"/>
    <w:rsid w:val="008E1685"/>
    <w:rsid w:val="008E1C1E"/>
    <w:rsid w:val="008E1D03"/>
    <w:rsid w:val="008E244B"/>
    <w:rsid w:val="008E27A2"/>
    <w:rsid w:val="008E297A"/>
    <w:rsid w:val="008E2B53"/>
    <w:rsid w:val="008E32EE"/>
    <w:rsid w:val="008E3A59"/>
    <w:rsid w:val="008E3BEA"/>
    <w:rsid w:val="008E42AD"/>
    <w:rsid w:val="008E4359"/>
    <w:rsid w:val="008E61B0"/>
    <w:rsid w:val="008E6539"/>
    <w:rsid w:val="008E6A74"/>
    <w:rsid w:val="008E6BE8"/>
    <w:rsid w:val="008E6DC1"/>
    <w:rsid w:val="008E7B3E"/>
    <w:rsid w:val="008E7BEB"/>
    <w:rsid w:val="008F01CE"/>
    <w:rsid w:val="008F068D"/>
    <w:rsid w:val="008F0D3B"/>
    <w:rsid w:val="008F118C"/>
    <w:rsid w:val="008F1287"/>
    <w:rsid w:val="008F1581"/>
    <w:rsid w:val="008F34B1"/>
    <w:rsid w:val="008F3A35"/>
    <w:rsid w:val="008F3A3A"/>
    <w:rsid w:val="008F3F08"/>
    <w:rsid w:val="008F403A"/>
    <w:rsid w:val="008F4AB7"/>
    <w:rsid w:val="008F6443"/>
    <w:rsid w:val="008F64E3"/>
    <w:rsid w:val="008F66A1"/>
    <w:rsid w:val="008F67C5"/>
    <w:rsid w:val="008F6F14"/>
    <w:rsid w:val="00900197"/>
    <w:rsid w:val="009007C7"/>
    <w:rsid w:val="00900DF3"/>
    <w:rsid w:val="00901344"/>
    <w:rsid w:val="00901F5A"/>
    <w:rsid w:val="0090206E"/>
    <w:rsid w:val="009025A8"/>
    <w:rsid w:val="00902FBE"/>
    <w:rsid w:val="00903619"/>
    <w:rsid w:val="009042CF"/>
    <w:rsid w:val="00904477"/>
    <w:rsid w:val="00904A05"/>
    <w:rsid w:val="009057D0"/>
    <w:rsid w:val="009059A3"/>
    <w:rsid w:val="00906703"/>
    <w:rsid w:val="00906BD2"/>
    <w:rsid w:val="00906F51"/>
    <w:rsid w:val="0090707C"/>
    <w:rsid w:val="0090716E"/>
    <w:rsid w:val="00907828"/>
    <w:rsid w:val="0090784E"/>
    <w:rsid w:val="00907864"/>
    <w:rsid w:val="00907ED9"/>
    <w:rsid w:val="00907F8D"/>
    <w:rsid w:val="00910266"/>
    <w:rsid w:val="009108F9"/>
    <w:rsid w:val="0091095E"/>
    <w:rsid w:val="00910C5D"/>
    <w:rsid w:val="00910EC9"/>
    <w:rsid w:val="009115C7"/>
    <w:rsid w:val="00911D88"/>
    <w:rsid w:val="009120FE"/>
    <w:rsid w:val="00912E6C"/>
    <w:rsid w:val="0091324F"/>
    <w:rsid w:val="0091332B"/>
    <w:rsid w:val="0091344E"/>
    <w:rsid w:val="0091442D"/>
    <w:rsid w:val="00914A89"/>
    <w:rsid w:val="009153C1"/>
    <w:rsid w:val="00915A34"/>
    <w:rsid w:val="00915F47"/>
    <w:rsid w:val="00916114"/>
    <w:rsid w:val="00916589"/>
    <w:rsid w:val="00916619"/>
    <w:rsid w:val="009168BA"/>
    <w:rsid w:val="00917A31"/>
    <w:rsid w:val="0092065C"/>
    <w:rsid w:val="009209C6"/>
    <w:rsid w:val="00921197"/>
    <w:rsid w:val="0092147C"/>
    <w:rsid w:val="00921543"/>
    <w:rsid w:val="00921C54"/>
    <w:rsid w:val="00922356"/>
    <w:rsid w:val="009227DE"/>
    <w:rsid w:val="0092317B"/>
    <w:rsid w:val="009233B6"/>
    <w:rsid w:val="009236B2"/>
    <w:rsid w:val="00923E7D"/>
    <w:rsid w:val="00923EC6"/>
    <w:rsid w:val="00923F1A"/>
    <w:rsid w:val="00924426"/>
    <w:rsid w:val="00924877"/>
    <w:rsid w:val="009256E9"/>
    <w:rsid w:val="00926334"/>
    <w:rsid w:val="0092648E"/>
    <w:rsid w:val="009266F7"/>
    <w:rsid w:val="00926A0E"/>
    <w:rsid w:val="009271ED"/>
    <w:rsid w:val="00927557"/>
    <w:rsid w:val="00927580"/>
    <w:rsid w:val="009306BC"/>
    <w:rsid w:val="00930842"/>
    <w:rsid w:val="0093129C"/>
    <w:rsid w:val="009313D4"/>
    <w:rsid w:val="00931956"/>
    <w:rsid w:val="009320EF"/>
    <w:rsid w:val="009323C4"/>
    <w:rsid w:val="00932E20"/>
    <w:rsid w:val="00934106"/>
    <w:rsid w:val="0093426D"/>
    <w:rsid w:val="009342AD"/>
    <w:rsid w:val="0093459F"/>
    <w:rsid w:val="009347C6"/>
    <w:rsid w:val="00934A36"/>
    <w:rsid w:val="00934CA4"/>
    <w:rsid w:val="00934E9C"/>
    <w:rsid w:val="00934EA3"/>
    <w:rsid w:val="009355A7"/>
    <w:rsid w:val="009364AB"/>
    <w:rsid w:val="00936BB5"/>
    <w:rsid w:val="00936BC3"/>
    <w:rsid w:val="00936E44"/>
    <w:rsid w:val="00936E82"/>
    <w:rsid w:val="00937279"/>
    <w:rsid w:val="00937700"/>
    <w:rsid w:val="0093795A"/>
    <w:rsid w:val="0094014A"/>
    <w:rsid w:val="00940A20"/>
    <w:rsid w:val="00940C74"/>
    <w:rsid w:val="009416B2"/>
    <w:rsid w:val="009416D1"/>
    <w:rsid w:val="00941DB2"/>
    <w:rsid w:val="00942218"/>
    <w:rsid w:val="00942292"/>
    <w:rsid w:val="0094230A"/>
    <w:rsid w:val="00942E84"/>
    <w:rsid w:val="0094333E"/>
    <w:rsid w:val="0094335B"/>
    <w:rsid w:val="0094385F"/>
    <w:rsid w:val="00943889"/>
    <w:rsid w:val="00943B7B"/>
    <w:rsid w:val="00943C7E"/>
    <w:rsid w:val="00943CB5"/>
    <w:rsid w:val="00944766"/>
    <w:rsid w:val="00945242"/>
    <w:rsid w:val="0094537D"/>
    <w:rsid w:val="00945AA0"/>
    <w:rsid w:val="0094709C"/>
    <w:rsid w:val="00947188"/>
    <w:rsid w:val="00947778"/>
    <w:rsid w:val="00947830"/>
    <w:rsid w:val="009478D6"/>
    <w:rsid w:val="00950097"/>
    <w:rsid w:val="00952092"/>
    <w:rsid w:val="009524FF"/>
    <w:rsid w:val="00952EBA"/>
    <w:rsid w:val="0095382D"/>
    <w:rsid w:val="009538DD"/>
    <w:rsid w:val="00953CD3"/>
    <w:rsid w:val="0095466E"/>
    <w:rsid w:val="00956722"/>
    <w:rsid w:val="00956858"/>
    <w:rsid w:val="00956A88"/>
    <w:rsid w:val="00956B5E"/>
    <w:rsid w:val="0095702A"/>
    <w:rsid w:val="00957250"/>
    <w:rsid w:val="00957275"/>
    <w:rsid w:val="009575AE"/>
    <w:rsid w:val="009578E6"/>
    <w:rsid w:val="009600B3"/>
    <w:rsid w:val="009600E2"/>
    <w:rsid w:val="009604D7"/>
    <w:rsid w:val="0096066C"/>
    <w:rsid w:val="00960B21"/>
    <w:rsid w:val="00960B9A"/>
    <w:rsid w:val="00961159"/>
    <w:rsid w:val="009614F3"/>
    <w:rsid w:val="00961712"/>
    <w:rsid w:val="00961A8E"/>
    <w:rsid w:val="0096219B"/>
    <w:rsid w:val="00962917"/>
    <w:rsid w:val="00963441"/>
    <w:rsid w:val="00963B44"/>
    <w:rsid w:val="00963EEF"/>
    <w:rsid w:val="0096411B"/>
    <w:rsid w:val="009647B0"/>
    <w:rsid w:val="009651EB"/>
    <w:rsid w:val="0096587F"/>
    <w:rsid w:val="00965929"/>
    <w:rsid w:val="00966660"/>
    <w:rsid w:val="00966851"/>
    <w:rsid w:val="00966AFA"/>
    <w:rsid w:val="00966E19"/>
    <w:rsid w:val="00966EC8"/>
    <w:rsid w:val="00967BFA"/>
    <w:rsid w:val="00967F4B"/>
    <w:rsid w:val="009705F7"/>
    <w:rsid w:val="009706B1"/>
    <w:rsid w:val="00970E87"/>
    <w:rsid w:val="00971BD9"/>
    <w:rsid w:val="00971DF3"/>
    <w:rsid w:val="00971ED1"/>
    <w:rsid w:val="009734DB"/>
    <w:rsid w:val="00973B7A"/>
    <w:rsid w:val="00973E6E"/>
    <w:rsid w:val="009741B3"/>
    <w:rsid w:val="0097420E"/>
    <w:rsid w:val="0097459F"/>
    <w:rsid w:val="00974763"/>
    <w:rsid w:val="00974A50"/>
    <w:rsid w:val="00974D49"/>
    <w:rsid w:val="00975534"/>
    <w:rsid w:val="0097562F"/>
    <w:rsid w:val="00975C69"/>
    <w:rsid w:val="0097626F"/>
    <w:rsid w:val="009773D9"/>
    <w:rsid w:val="00977757"/>
    <w:rsid w:val="00977FA6"/>
    <w:rsid w:val="009807D9"/>
    <w:rsid w:val="00980B7E"/>
    <w:rsid w:val="00980CDC"/>
    <w:rsid w:val="00981229"/>
    <w:rsid w:val="00982045"/>
    <w:rsid w:val="0098272D"/>
    <w:rsid w:val="009829F2"/>
    <w:rsid w:val="009831AA"/>
    <w:rsid w:val="00984131"/>
    <w:rsid w:val="0098459A"/>
    <w:rsid w:val="009845FF"/>
    <w:rsid w:val="00984D81"/>
    <w:rsid w:val="009854A5"/>
    <w:rsid w:val="00985854"/>
    <w:rsid w:val="00985977"/>
    <w:rsid w:val="009859EF"/>
    <w:rsid w:val="009859FE"/>
    <w:rsid w:val="00985E04"/>
    <w:rsid w:val="0098689D"/>
    <w:rsid w:val="00986B34"/>
    <w:rsid w:val="009878DD"/>
    <w:rsid w:val="00987BA4"/>
    <w:rsid w:val="00987CB4"/>
    <w:rsid w:val="0099000A"/>
    <w:rsid w:val="00990042"/>
    <w:rsid w:val="00990774"/>
    <w:rsid w:val="009907AF"/>
    <w:rsid w:val="00990866"/>
    <w:rsid w:val="00990BF8"/>
    <w:rsid w:val="00991BCB"/>
    <w:rsid w:val="0099214D"/>
    <w:rsid w:val="00992856"/>
    <w:rsid w:val="009928AB"/>
    <w:rsid w:val="00993084"/>
    <w:rsid w:val="0099323C"/>
    <w:rsid w:val="0099373C"/>
    <w:rsid w:val="00993B07"/>
    <w:rsid w:val="00993C83"/>
    <w:rsid w:val="00993DBC"/>
    <w:rsid w:val="009946C1"/>
    <w:rsid w:val="00994A0E"/>
    <w:rsid w:val="00994A54"/>
    <w:rsid w:val="009951A0"/>
    <w:rsid w:val="009955FC"/>
    <w:rsid w:val="00995662"/>
    <w:rsid w:val="00995682"/>
    <w:rsid w:val="0099586E"/>
    <w:rsid w:val="009958B7"/>
    <w:rsid w:val="00995ECE"/>
    <w:rsid w:val="00996002"/>
    <w:rsid w:val="0099631E"/>
    <w:rsid w:val="00996431"/>
    <w:rsid w:val="0099695D"/>
    <w:rsid w:val="00996E07"/>
    <w:rsid w:val="00997223"/>
    <w:rsid w:val="00997808"/>
    <w:rsid w:val="00997A86"/>
    <w:rsid w:val="00997A98"/>
    <w:rsid w:val="00997BF9"/>
    <w:rsid w:val="009A0221"/>
    <w:rsid w:val="009A0867"/>
    <w:rsid w:val="009A093B"/>
    <w:rsid w:val="009A0D07"/>
    <w:rsid w:val="009A1AF2"/>
    <w:rsid w:val="009A1CDA"/>
    <w:rsid w:val="009A1E61"/>
    <w:rsid w:val="009A2AAA"/>
    <w:rsid w:val="009A329C"/>
    <w:rsid w:val="009A3718"/>
    <w:rsid w:val="009A37D8"/>
    <w:rsid w:val="009A3B9A"/>
    <w:rsid w:val="009A3E3B"/>
    <w:rsid w:val="009A47D0"/>
    <w:rsid w:val="009A480F"/>
    <w:rsid w:val="009A51F3"/>
    <w:rsid w:val="009A5735"/>
    <w:rsid w:val="009A579D"/>
    <w:rsid w:val="009A589B"/>
    <w:rsid w:val="009A6A03"/>
    <w:rsid w:val="009A6C16"/>
    <w:rsid w:val="009A70B4"/>
    <w:rsid w:val="009A724B"/>
    <w:rsid w:val="009A7989"/>
    <w:rsid w:val="009A7BDB"/>
    <w:rsid w:val="009A7D47"/>
    <w:rsid w:val="009B01C0"/>
    <w:rsid w:val="009B07ED"/>
    <w:rsid w:val="009B0D52"/>
    <w:rsid w:val="009B1505"/>
    <w:rsid w:val="009B20DB"/>
    <w:rsid w:val="009B22B0"/>
    <w:rsid w:val="009B2628"/>
    <w:rsid w:val="009B3601"/>
    <w:rsid w:val="009B3AB9"/>
    <w:rsid w:val="009B580F"/>
    <w:rsid w:val="009B5838"/>
    <w:rsid w:val="009B594D"/>
    <w:rsid w:val="009B5AC8"/>
    <w:rsid w:val="009B5B1F"/>
    <w:rsid w:val="009B5BEF"/>
    <w:rsid w:val="009B5EED"/>
    <w:rsid w:val="009B689E"/>
    <w:rsid w:val="009B69A9"/>
    <w:rsid w:val="009B6AB5"/>
    <w:rsid w:val="009B6CE4"/>
    <w:rsid w:val="009B77FD"/>
    <w:rsid w:val="009B7A3C"/>
    <w:rsid w:val="009C0013"/>
    <w:rsid w:val="009C00B6"/>
    <w:rsid w:val="009C18D2"/>
    <w:rsid w:val="009C2109"/>
    <w:rsid w:val="009C27DA"/>
    <w:rsid w:val="009C2EAB"/>
    <w:rsid w:val="009C3ED4"/>
    <w:rsid w:val="009C3ED9"/>
    <w:rsid w:val="009C5255"/>
    <w:rsid w:val="009C57BE"/>
    <w:rsid w:val="009C606C"/>
    <w:rsid w:val="009C60E3"/>
    <w:rsid w:val="009C631F"/>
    <w:rsid w:val="009C696B"/>
    <w:rsid w:val="009C6DEC"/>
    <w:rsid w:val="009C6EDA"/>
    <w:rsid w:val="009C761D"/>
    <w:rsid w:val="009C7ABE"/>
    <w:rsid w:val="009C7C2A"/>
    <w:rsid w:val="009D0506"/>
    <w:rsid w:val="009D0755"/>
    <w:rsid w:val="009D0C5E"/>
    <w:rsid w:val="009D0C78"/>
    <w:rsid w:val="009D147F"/>
    <w:rsid w:val="009D150A"/>
    <w:rsid w:val="009D1690"/>
    <w:rsid w:val="009D1762"/>
    <w:rsid w:val="009D1B5A"/>
    <w:rsid w:val="009D1D36"/>
    <w:rsid w:val="009D36FF"/>
    <w:rsid w:val="009D3CDA"/>
    <w:rsid w:val="009D4453"/>
    <w:rsid w:val="009D453C"/>
    <w:rsid w:val="009D45A7"/>
    <w:rsid w:val="009D49C9"/>
    <w:rsid w:val="009D50FC"/>
    <w:rsid w:val="009D55A1"/>
    <w:rsid w:val="009D55EB"/>
    <w:rsid w:val="009D57EF"/>
    <w:rsid w:val="009D5D2E"/>
    <w:rsid w:val="009D5D33"/>
    <w:rsid w:val="009D65EB"/>
    <w:rsid w:val="009D6E2C"/>
    <w:rsid w:val="009D6EBE"/>
    <w:rsid w:val="009D7140"/>
    <w:rsid w:val="009D786E"/>
    <w:rsid w:val="009D7902"/>
    <w:rsid w:val="009E04E8"/>
    <w:rsid w:val="009E0549"/>
    <w:rsid w:val="009E075B"/>
    <w:rsid w:val="009E0878"/>
    <w:rsid w:val="009E09D2"/>
    <w:rsid w:val="009E0D0E"/>
    <w:rsid w:val="009E0DFF"/>
    <w:rsid w:val="009E178B"/>
    <w:rsid w:val="009E1CCC"/>
    <w:rsid w:val="009E1D4B"/>
    <w:rsid w:val="009E1E14"/>
    <w:rsid w:val="009E20C8"/>
    <w:rsid w:val="009E216A"/>
    <w:rsid w:val="009E29AE"/>
    <w:rsid w:val="009E2D66"/>
    <w:rsid w:val="009E3A3F"/>
    <w:rsid w:val="009E3FE7"/>
    <w:rsid w:val="009E44EC"/>
    <w:rsid w:val="009E4C19"/>
    <w:rsid w:val="009E4C85"/>
    <w:rsid w:val="009E6491"/>
    <w:rsid w:val="009E6CD4"/>
    <w:rsid w:val="009E6EF2"/>
    <w:rsid w:val="009E7116"/>
    <w:rsid w:val="009E7241"/>
    <w:rsid w:val="009E74E2"/>
    <w:rsid w:val="009E7A4A"/>
    <w:rsid w:val="009E7E5A"/>
    <w:rsid w:val="009F0011"/>
    <w:rsid w:val="009F08C3"/>
    <w:rsid w:val="009F096F"/>
    <w:rsid w:val="009F20F0"/>
    <w:rsid w:val="009F33D1"/>
    <w:rsid w:val="009F35AC"/>
    <w:rsid w:val="009F3B12"/>
    <w:rsid w:val="009F3F33"/>
    <w:rsid w:val="009F406C"/>
    <w:rsid w:val="009F4467"/>
    <w:rsid w:val="009F50E2"/>
    <w:rsid w:val="009F57F8"/>
    <w:rsid w:val="009F6847"/>
    <w:rsid w:val="009F6DA0"/>
    <w:rsid w:val="009F72F8"/>
    <w:rsid w:val="009F73FA"/>
    <w:rsid w:val="009F7EDF"/>
    <w:rsid w:val="009F7F28"/>
    <w:rsid w:val="00A00009"/>
    <w:rsid w:val="00A00C96"/>
    <w:rsid w:val="00A00DF2"/>
    <w:rsid w:val="00A00E88"/>
    <w:rsid w:val="00A0142B"/>
    <w:rsid w:val="00A01C0A"/>
    <w:rsid w:val="00A02609"/>
    <w:rsid w:val="00A027E9"/>
    <w:rsid w:val="00A02ACE"/>
    <w:rsid w:val="00A02EF3"/>
    <w:rsid w:val="00A02F7E"/>
    <w:rsid w:val="00A0306B"/>
    <w:rsid w:val="00A035EA"/>
    <w:rsid w:val="00A03977"/>
    <w:rsid w:val="00A03AAB"/>
    <w:rsid w:val="00A041D8"/>
    <w:rsid w:val="00A0422F"/>
    <w:rsid w:val="00A04697"/>
    <w:rsid w:val="00A04792"/>
    <w:rsid w:val="00A05E3B"/>
    <w:rsid w:val="00A05FE6"/>
    <w:rsid w:val="00A0622F"/>
    <w:rsid w:val="00A07781"/>
    <w:rsid w:val="00A07A11"/>
    <w:rsid w:val="00A10492"/>
    <w:rsid w:val="00A1120F"/>
    <w:rsid w:val="00A11571"/>
    <w:rsid w:val="00A11CF5"/>
    <w:rsid w:val="00A11F21"/>
    <w:rsid w:val="00A129DF"/>
    <w:rsid w:val="00A12C3D"/>
    <w:rsid w:val="00A12E5E"/>
    <w:rsid w:val="00A13AF5"/>
    <w:rsid w:val="00A13FD6"/>
    <w:rsid w:val="00A1406E"/>
    <w:rsid w:val="00A14657"/>
    <w:rsid w:val="00A15DC3"/>
    <w:rsid w:val="00A16190"/>
    <w:rsid w:val="00A16B02"/>
    <w:rsid w:val="00A17604"/>
    <w:rsid w:val="00A179E9"/>
    <w:rsid w:val="00A17CBB"/>
    <w:rsid w:val="00A17D19"/>
    <w:rsid w:val="00A17EEF"/>
    <w:rsid w:val="00A17FE1"/>
    <w:rsid w:val="00A20F8B"/>
    <w:rsid w:val="00A21147"/>
    <w:rsid w:val="00A215B1"/>
    <w:rsid w:val="00A2194F"/>
    <w:rsid w:val="00A22305"/>
    <w:rsid w:val="00A22497"/>
    <w:rsid w:val="00A22924"/>
    <w:rsid w:val="00A22DEE"/>
    <w:rsid w:val="00A23222"/>
    <w:rsid w:val="00A23B19"/>
    <w:rsid w:val="00A24378"/>
    <w:rsid w:val="00A2483F"/>
    <w:rsid w:val="00A24B61"/>
    <w:rsid w:val="00A2532E"/>
    <w:rsid w:val="00A25BA7"/>
    <w:rsid w:val="00A25CAD"/>
    <w:rsid w:val="00A261E9"/>
    <w:rsid w:val="00A2699B"/>
    <w:rsid w:val="00A270D0"/>
    <w:rsid w:val="00A270DC"/>
    <w:rsid w:val="00A273B7"/>
    <w:rsid w:val="00A274D7"/>
    <w:rsid w:val="00A27784"/>
    <w:rsid w:val="00A27C7B"/>
    <w:rsid w:val="00A27E1F"/>
    <w:rsid w:val="00A304F8"/>
    <w:rsid w:val="00A312B6"/>
    <w:rsid w:val="00A3206D"/>
    <w:rsid w:val="00A3234B"/>
    <w:rsid w:val="00A3284A"/>
    <w:rsid w:val="00A32AC2"/>
    <w:rsid w:val="00A32B4E"/>
    <w:rsid w:val="00A32EA5"/>
    <w:rsid w:val="00A32EBB"/>
    <w:rsid w:val="00A34384"/>
    <w:rsid w:val="00A34CD0"/>
    <w:rsid w:val="00A34D78"/>
    <w:rsid w:val="00A34EBC"/>
    <w:rsid w:val="00A358BC"/>
    <w:rsid w:val="00A35C5D"/>
    <w:rsid w:val="00A35F4A"/>
    <w:rsid w:val="00A35FAE"/>
    <w:rsid w:val="00A36591"/>
    <w:rsid w:val="00A36B3F"/>
    <w:rsid w:val="00A36F76"/>
    <w:rsid w:val="00A3706A"/>
    <w:rsid w:val="00A37BC8"/>
    <w:rsid w:val="00A37DF0"/>
    <w:rsid w:val="00A409FB"/>
    <w:rsid w:val="00A40B1A"/>
    <w:rsid w:val="00A4184F"/>
    <w:rsid w:val="00A41B17"/>
    <w:rsid w:val="00A41CB2"/>
    <w:rsid w:val="00A4215F"/>
    <w:rsid w:val="00A4243B"/>
    <w:rsid w:val="00A4250E"/>
    <w:rsid w:val="00A42D8F"/>
    <w:rsid w:val="00A43127"/>
    <w:rsid w:val="00A4318F"/>
    <w:rsid w:val="00A43E1B"/>
    <w:rsid w:val="00A441AF"/>
    <w:rsid w:val="00A4469B"/>
    <w:rsid w:val="00A44909"/>
    <w:rsid w:val="00A44F6F"/>
    <w:rsid w:val="00A456B0"/>
    <w:rsid w:val="00A45B58"/>
    <w:rsid w:val="00A45C08"/>
    <w:rsid w:val="00A45DEB"/>
    <w:rsid w:val="00A45FBF"/>
    <w:rsid w:val="00A4637B"/>
    <w:rsid w:val="00A463DD"/>
    <w:rsid w:val="00A46564"/>
    <w:rsid w:val="00A469D1"/>
    <w:rsid w:val="00A46DB0"/>
    <w:rsid w:val="00A47557"/>
    <w:rsid w:val="00A50636"/>
    <w:rsid w:val="00A5086E"/>
    <w:rsid w:val="00A5177B"/>
    <w:rsid w:val="00A51DF2"/>
    <w:rsid w:val="00A524B9"/>
    <w:rsid w:val="00A52CEB"/>
    <w:rsid w:val="00A53CB0"/>
    <w:rsid w:val="00A53E39"/>
    <w:rsid w:val="00A53F13"/>
    <w:rsid w:val="00A53F98"/>
    <w:rsid w:val="00A54077"/>
    <w:rsid w:val="00A5452E"/>
    <w:rsid w:val="00A549D1"/>
    <w:rsid w:val="00A55F1E"/>
    <w:rsid w:val="00A56B5E"/>
    <w:rsid w:val="00A56BAB"/>
    <w:rsid w:val="00A56CA0"/>
    <w:rsid w:val="00A57AB8"/>
    <w:rsid w:val="00A57C75"/>
    <w:rsid w:val="00A60171"/>
    <w:rsid w:val="00A609CE"/>
    <w:rsid w:val="00A6211A"/>
    <w:rsid w:val="00A62343"/>
    <w:rsid w:val="00A628DD"/>
    <w:rsid w:val="00A6337C"/>
    <w:rsid w:val="00A63589"/>
    <w:rsid w:val="00A637D3"/>
    <w:rsid w:val="00A63988"/>
    <w:rsid w:val="00A63B65"/>
    <w:rsid w:val="00A63F16"/>
    <w:rsid w:val="00A6418D"/>
    <w:rsid w:val="00A64248"/>
    <w:rsid w:val="00A64350"/>
    <w:rsid w:val="00A64372"/>
    <w:rsid w:val="00A64AAA"/>
    <w:rsid w:val="00A64B23"/>
    <w:rsid w:val="00A64B3B"/>
    <w:rsid w:val="00A64B45"/>
    <w:rsid w:val="00A654AD"/>
    <w:rsid w:val="00A657C5"/>
    <w:rsid w:val="00A65A29"/>
    <w:rsid w:val="00A65D96"/>
    <w:rsid w:val="00A6688C"/>
    <w:rsid w:val="00A66DED"/>
    <w:rsid w:val="00A67070"/>
    <w:rsid w:val="00A6713E"/>
    <w:rsid w:val="00A67C1E"/>
    <w:rsid w:val="00A67D83"/>
    <w:rsid w:val="00A708EA"/>
    <w:rsid w:val="00A70BF3"/>
    <w:rsid w:val="00A70C27"/>
    <w:rsid w:val="00A70EBB"/>
    <w:rsid w:val="00A718EB"/>
    <w:rsid w:val="00A71956"/>
    <w:rsid w:val="00A71AA1"/>
    <w:rsid w:val="00A7219C"/>
    <w:rsid w:val="00A726AA"/>
    <w:rsid w:val="00A7290D"/>
    <w:rsid w:val="00A729C2"/>
    <w:rsid w:val="00A72B8D"/>
    <w:rsid w:val="00A72E90"/>
    <w:rsid w:val="00A73664"/>
    <w:rsid w:val="00A73D30"/>
    <w:rsid w:val="00A7433C"/>
    <w:rsid w:val="00A7450F"/>
    <w:rsid w:val="00A74636"/>
    <w:rsid w:val="00A74670"/>
    <w:rsid w:val="00A74721"/>
    <w:rsid w:val="00A74816"/>
    <w:rsid w:val="00A7482E"/>
    <w:rsid w:val="00A74977"/>
    <w:rsid w:val="00A74979"/>
    <w:rsid w:val="00A74B53"/>
    <w:rsid w:val="00A74E6C"/>
    <w:rsid w:val="00A756A9"/>
    <w:rsid w:val="00A75C4B"/>
    <w:rsid w:val="00A76400"/>
    <w:rsid w:val="00A765ED"/>
    <w:rsid w:val="00A76B8B"/>
    <w:rsid w:val="00A77477"/>
    <w:rsid w:val="00A77DA8"/>
    <w:rsid w:val="00A77EC0"/>
    <w:rsid w:val="00A8005F"/>
    <w:rsid w:val="00A8065C"/>
    <w:rsid w:val="00A80848"/>
    <w:rsid w:val="00A80B0F"/>
    <w:rsid w:val="00A80C4B"/>
    <w:rsid w:val="00A8105A"/>
    <w:rsid w:val="00A811E5"/>
    <w:rsid w:val="00A81872"/>
    <w:rsid w:val="00A81978"/>
    <w:rsid w:val="00A81BD7"/>
    <w:rsid w:val="00A82014"/>
    <w:rsid w:val="00A821CB"/>
    <w:rsid w:val="00A82774"/>
    <w:rsid w:val="00A830C0"/>
    <w:rsid w:val="00A839B0"/>
    <w:rsid w:val="00A83A3C"/>
    <w:rsid w:val="00A83A61"/>
    <w:rsid w:val="00A83DD8"/>
    <w:rsid w:val="00A84474"/>
    <w:rsid w:val="00A84DF1"/>
    <w:rsid w:val="00A85554"/>
    <w:rsid w:val="00A857A3"/>
    <w:rsid w:val="00A8590E"/>
    <w:rsid w:val="00A85B40"/>
    <w:rsid w:val="00A85CA0"/>
    <w:rsid w:val="00A85D3C"/>
    <w:rsid w:val="00A85F64"/>
    <w:rsid w:val="00A862F1"/>
    <w:rsid w:val="00A90148"/>
    <w:rsid w:val="00A9051B"/>
    <w:rsid w:val="00A911C2"/>
    <w:rsid w:val="00A917AA"/>
    <w:rsid w:val="00A92122"/>
    <w:rsid w:val="00A9279A"/>
    <w:rsid w:val="00A928F7"/>
    <w:rsid w:val="00A9339D"/>
    <w:rsid w:val="00A933CF"/>
    <w:rsid w:val="00A93861"/>
    <w:rsid w:val="00A938C7"/>
    <w:rsid w:val="00A93965"/>
    <w:rsid w:val="00A93D5E"/>
    <w:rsid w:val="00A94119"/>
    <w:rsid w:val="00A94307"/>
    <w:rsid w:val="00A94707"/>
    <w:rsid w:val="00A952F2"/>
    <w:rsid w:val="00A95350"/>
    <w:rsid w:val="00A957CB"/>
    <w:rsid w:val="00A95C3F"/>
    <w:rsid w:val="00A95D3B"/>
    <w:rsid w:val="00A962AD"/>
    <w:rsid w:val="00A9686A"/>
    <w:rsid w:val="00A968C0"/>
    <w:rsid w:val="00A9720F"/>
    <w:rsid w:val="00A97426"/>
    <w:rsid w:val="00AA0345"/>
    <w:rsid w:val="00AA0CDD"/>
    <w:rsid w:val="00AA2546"/>
    <w:rsid w:val="00AA2587"/>
    <w:rsid w:val="00AA2C93"/>
    <w:rsid w:val="00AA49CB"/>
    <w:rsid w:val="00AA4DE6"/>
    <w:rsid w:val="00AA56C6"/>
    <w:rsid w:val="00AA63DE"/>
    <w:rsid w:val="00AA6AD3"/>
    <w:rsid w:val="00AA6B86"/>
    <w:rsid w:val="00AA6D29"/>
    <w:rsid w:val="00AA704E"/>
    <w:rsid w:val="00AA7443"/>
    <w:rsid w:val="00AA7A6E"/>
    <w:rsid w:val="00AA7E7A"/>
    <w:rsid w:val="00AB0460"/>
    <w:rsid w:val="00AB0659"/>
    <w:rsid w:val="00AB0991"/>
    <w:rsid w:val="00AB226B"/>
    <w:rsid w:val="00AB24ED"/>
    <w:rsid w:val="00AB2705"/>
    <w:rsid w:val="00AB291C"/>
    <w:rsid w:val="00AB2DC8"/>
    <w:rsid w:val="00AB31D1"/>
    <w:rsid w:val="00AB31F1"/>
    <w:rsid w:val="00AB324F"/>
    <w:rsid w:val="00AB3289"/>
    <w:rsid w:val="00AB42D0"/>
    <w:rsid w:val="00AB4781"/>
    <w:rsid w:val="00AB4C59"/>
    <w:rsid w:val="00AB50AB"/>
    <w:rsid w:val="00AB569D"/>
    <w:rsid w:val="00AB5AA0"/>
    <w:rsid w:val="00AB6118"/>
    <w:rsid w:val="00AB61CA"/>
    <w:rsid w:val="00AB633E"/>
    <w:rsid w:val="00AB63CD"/>
    <w:rsid w:val="00AB6B2A"/>
    <w:rsid w:val="00AB6F13"/>
    <w:rsid w:val="00AB70CF"/>
    <w:rsid w:val="00AB7B17"/>
    <w:rsid w:val="00AC0E2A"/>
    <w:rsid w:val="00AC10F5"/>
    <w:rsid w:val="00AC1790"/>
    <w:rsid w:val="00AC1B77"/>
    <w:rsid w:val="00AC1D3E"/>
    <w:rsid w:val="00AC22FA"/>
    <w:rsid w:val="00AC30D6"/>
    <w:rsid w:val="00AC34BF"/>
    <w:rsid w:val="00AC386B"/>
    <w:rsid w:val="00AC4B24"/>
    <w:rsid w:val="00AC51C0"/>
    <w:rsid w:val="00AC659E"/>
    <w:rsid w:val="00AC67F8"/>
    <w:rsid w:val="00AC6FB1"/>
    <w:rsid w:val="00AC6FB6"/>
    <w:rsid w:val="00AC747C"/>
    <w:rsid w:val="00AC7DEF"/>
    <w:rsid w:val="00AC7E6F"/>
    <w:rsid w:val="00AD0067"/>
    <w:rsid w:val="00AD0188"/>
    <w:rsid w:val="00AD06A5"/>
    <w:rsid w:val="00AD08A5"/>
    <w:rsid w:val="00AD08E0"/>
    <w:rsid w:val="00AD0B7E"/>
    <w:rsid w:val="00AD13C3"/>
    <w:rsid w:val="00AD1692"/>
    <w:rsid w:val="00AD1856"/>
    <w:rsid w:val="00AD1C31"/>
    <w:rsid w:val="00AD2460"/>
    <w:rsid w:val="00AD2D76"/>
    <w:rsid w:val="00AD3716"/>
    <w:rsid w:val="00AD3DCC"/>
    <w:rsid w:val="00AD4658"/>
    <w:rsid w:val="00AD5503"/>
    <w:rsid w:val="00AD596F"/>
    <w:rsid w:val="00AD6599"/>
    <w:rsid w:val="00AD7087"/>
    <w:rsid w:val="00AD799B"/>
    <w:rsid w:val="00AD7FB9"/>
    <w:rsid w:val="00AE03B5"/>
    <w:rsid w:val="00AE0461"/>
    <w:rsid w:val="00AE130F"/>
    <w:rsid w:val="00AE31E7"/>
    <w:rsid w:val="00AE33CB"/>
    <w:rsid w:val="00AE3742"/>
    <w:rsid w:val="00AE374A"/>
    <w:rsid w:val="00AE38CF"/>
    <w:rsid w:val="00AE3B74"/>
    <w:rsid w:val="00AE3DC1"/>
    <w:rsid w:val="00AE46D6"/>
    <w:rsid w:val="00AE46E6"/>
    <w:rsid w:val="00AE4CCE"/>
    <w:rsid w:val="00AE58CF"/>
    <w:rsid w:val="00AE5CC8"/>
    <w:rsid w:val="00AE63EC"/>
    <w:rsid w:val="00AE6EBA"/>
    <w:rsid w:val="00AE6F4D"/>
    <w:rsid w:val="00AE733D"/>
    <w:rsid w:val="00AE77C4"/>
    <w:rsid w:val="00AE7F63"/>
    <w:rsid w:val="00AF0729"/>
    <w:rsid w:val="00AF0B3E"/>
    <w:rsid w:val="00AF0BD8"/>
    <w:rsid w:val="00AF1018"/>
    <w:rsid w:val="00AF16A5"/>
    <w:rsid w:val="00AF1A67"/>
    <w:rsid w:val="00AF340C"/>
    <w:rsid w:val="00AF427C"/>
    <w:rsid w:val="00AF4482"/>
    <w:rsid w:val="00AF4CB3"/>
    <w:rsid w:val="00AF4F2D"/>
    <w:rsid w:val="00AF56F4"/>
    <w:rsid w:val="00AF574D"/>
    <w:rsid w:val="00AF5A61"/>
    <w:rsid w:val="00AF5B07"/>
    <w:rsid w:val="00AF5E83"/>
    <w:rsid w:val="00AF5FA1"/>
    <w:rsid w:val="00AF61E3"/>
    <w:rsid w:val="00AF6332"/>
    <w:rsid w:val="00AF6990"/>
    <w:rsid w:val="00AF7476"/>
    <w:rsid w:val="00AF74F9"/>
    <w:rsid w:val="00AF77B0"/>
    <w:rsid w:val="00B00330"/>
    <w:rsid w:val="00B007A7"/>
    <w:rsid w:val="00B00FEE"/>
    <w:rsid w:val="00B01958"/>
    <w:rsid w:val="00B0230B"/>
    <w:rsid w:val="00B02545"/>
    <w:rsid w:val="00B026C9"/>
    <w:rsid w:val="00B02AA3"/>
    <w:rsid w:val="00B02FA1"/>
    <w:rsid w:val="00B03668"/>
    <w:rsid w:val="00B036FE"/>
    <w:rsid w:val="00B03BC0"/>
    <w:rsid w:val="00B047A7"/>
    <w:rsid w:val="00B04BAC"/>
    <w:rsid w:val="00B04FE3"/>
    <w:rsid w:val="00B05185"/>
    <w:rsid w:val="00B0580B"/>
    <w:rsid w:val="00B0630B"/>
    <w:rsid w:val="00B0642F"/>
    <w:rsid w:val="00B06693"/>
    <w:rsid w:val="00B0697C"/>
    <w:rsid w:val="00B07661"/>
    <w:rsid w:val="00B0792A"/>
    <w:rsid w:val="00B07CF0"/>
    <w:rsid w:val="00B07F55"/>
    <w:rsid w:val="00B100C6"/>
    <w:rsid w:val="00B104E9"/>
    <w:rsid w:val="00B105D5"/>
    <w:rsid w:val="00B1094F"/>
    <w:rsid w:val="00B10E4A"/>
    <w:rsid w:val="00B11686"/>
    <w:rsid w:val="00B11B0F"/>
    <w:rsid w:val="00B12648"/>
    <w:rsid w:val="00B134C1"/>
    <w:rsid w:val="00B13C9C"/>
    <w:rsid w:val="00B14244"/>
    <w:rsid w:val="00B1435E"/>
    <w:rsid w:val="00B1448B"/>
    <w:rsid w:val="00B14D0B"/>
    <w:rsid w:val="00B15338"/>
    <w:rsid w:val="00B1550B"/>
    <w:rsid w:val="00B1576D"/>
    <w:rsid w:val="00B15A20"/>
    <w:rsid w:val="00B15BAF"/>
    <w:rsid w:val="00B15BF5"/>
    <w:rsid w:val="00B1630F"/>
    <w:rsid w:val="00B164D3"/>
    <w:rsid w:val="00B16848"/>
    <w:rsid w:val="00B16C76"/>
    <w:rsid w:val="00B16EA8"/>
    <w:rsid w:val="00B16FE5"/>
    <w:rsid w:val="00B177B5"/>
    <w:rsid w:val="00B17D4D"/>
    <w:rsid w:val="00B17F07"/>
    <w:rsid w:val="00B20C52"/>
    <w:rsid w:val="00B20CCC"/>
    <w:rsid w:val="00B20EF8"/>
    <w:rsid w:val="00B21AE1"/>
    <w:rsid w:val="00B21C6E"/>
    <w:rsid w:val="00B21C83"/>
    <w:rsid w:val="00B21C9D"/>
    <w:rsid w:val="00B21D4F"/>
    <w:rsid w:val="00B226A8"/>
    <w:rsid w:val="00B2290E"/>
    <w:rsid w:val="00B22C5F"/>
    <w:rsid w:val="00B22D12"/>
    <w:rsid w:val="00B22E1D"/>
    <w:rsid w:val="00B23030"/>
    <w:rsid w:val="00B23C86"/>
    <w:rsid w:val="00B23FBD"/>
    <w:rsid w:val="00B246D4"/>
    <w:rsid w:val="00B24F28"/>
    <w:rsid w:val="00B25693"/>
    <w:rsid w:val="00B267F0"/>
    <w:rsid w:val="00B26C35"/>
    <w:rsid w:val="00B276AF"/>
    <w:rsid w:val="00B27AA4"/>
    <w:rsid w:val="00B3027E"/>
    <w:rsid w:val="00B302DC"/>
    <w:rsid w:val="00B3078F"/>
    <w:rsid w:val="00B30889"/>
    <w:rsid w:val="00B31290"/>
    <w:rsid w:val="00B312EF"/>
    <w:rsid w:val="00B31BEA"/>
    <w:rsid w:val="00B321DE"/>
    <w:rsid w:val="00B3225A"/>
    <w:rsid w:val="00B3247D"/>
    <w:rsid w:val="00B33A75"/>
    <w:rsid w:val="00B33D86"/>
    <w:rsid w:val="00B33E56"/>
    <w:rsid w:val="00B34BBA"/>
    <w:rsid w:val="00B34D9A"/>
    <w:rsid w:val="00B3503C"/>
    <w:rsid w:val="00B35327"/>
    <w:rsid w:val="00B355C5"/>
    <w:rsid w:val="00B35B6D"/>
    <w:rsid w:val="00B36766"/>
    <w:rsid w:val="00B372D3"/>
    <w:rsid w:val="00B3757C"/>
    <w:rsid w:val="00B37BD8"/>
    <w:rsid w:val="00B37D07"/>
    <w:rsid w:val="00B37DAF"/>
    <w:rsid w:val="00B403E2"/>
    <w:rsid w:val="00B405FF"/>
    <w:rsid w:val="00B408C0"/>
    <w:rsid w:val="00B40A2B"/>
    <w:rsid w:val="00B41241"/>
    <w:rsid w:val="00B42B0D"/>
    <w:rsid w:val="00B42DBA"/>
    <w:rsid w:val="00B42EBB"/>
    <w:rsid w:val="00B433AD"/>
    <w:rsid w:val="00B43740"/>
    <w:rsid w:val="00B438C8"/>
    <w:rsid w:val="00B43C28"/>
    <w:rsid w:val="00B43F0E"/>
    <w:rsid w:val="00B444A9"/>
    <w:rsid w:val="00B4516B"/>
    <w:rsid w:val="00B451D8"/>
    <w:rsid w:val="00B45DD0"/>
    <w:rsid w:val="00B4621A"/>
    <w:rsid w:val="00B468BF"/>
    <w:rsid w:val="00B46A24"/>
    <w:rsid w:val="00B46B20"/>
    <w:rsid w:val="00B470F8"/>
    <w:rsid w:val="00B4770B"/>
    <w:rsid w:val="00B47FA6"/>
    <w:rsid w:val="00B50011"/>
    <w:rsid w:val="00B502FA"/>
    <w:rsid w:val="00B507B4"/>
    <w:rsid w:val="00B5140B"/>
    <w:rsid w:val="00B52190"/>
    <w:rsid w:val="00B52287"/>
    <w:rsid w:val="00B523F1"/>
    <w:rsid w:val="00B52CB4"/>
    <w:rsid w:val="00B53754"/>
    <w:rsid w:val="00B538BE"/>
    <w:rsid w:val="00B55275"/>
    <w:rsid w:val="00B555F2"/>
    <w:rsid w:val="00B55961"/>
    <w:rsid w:val="00B55B27"/>
    <w:rsid w:val="00B55EE1"/>
    <w:rsid w:val="00B56944"/>
    <w:rsid w:val="00B570AD"/>
    <w:rsid w:val="00B57400"/>
    <w:rsid w:val="00B6062E"/>
    <w:rsid w:val="00B60B3F"/>
    <w:rsid w:val="00B60EF4"/>
    <w:rsid w:val="00B610F3"/>
    <w:rsid w:val="00B6169C"/>
    <w:rsid w:val="00B62B53"/>
    <w:rsid w:val="00B62C88"/>
    <w:rsid w:val="00B63279"/>
    <w:rsid w:val="00B63565"/>
    <w:rsid w:val="00B63A0C"/>
    <w:rsid w:val="00B63E8D"/>
    <w:rsid w:val="00B64A70"/>
    <w:rsid w:val="00B65083"/>
    <w:rsid w:val="00B6519A"/>
    <w:rsid w:val="00B654D8"/>
    <w:rsid w:val="00B654F6"/>
    <w:rsid w:val="00B657A1"/>
    <w:rsid w:val="00B657D8"/>
    <w:rsid w:val="00B65AB6"/>
    <w:rsid w:val="00B65D17"/>
    <w:rsid w:val="00B65F71"/>
    <w:rsid w:val="00B65F7C"/>
    <w:rsid w:val="00B665B9"/>
    <w:rsid w:val="00B667EF"/>
    <w:rsid w:val="00B66B4B"/>
    <w:rsid w:val="00B66D43"/>
    <w:rsid w:val="00B672F6"/>
    <w:rsid w:val="00B67423"/>
    <w:rsid w:val="00B67C46"/>
    <w:rsid w:val="00B70084"/>
    <w:rsid w:val="00B7133E"/>
    <w:rsid w:val="00B716DF"/>
    <w:rsid w:val="00B7294C"/>
    <w:rsid w:val="00B729EF"/>
    <w:rsid w:val="00B72C00"/>
    <w:rsid w:val="00B72E20"/>
    <w:rsid w:val="00B732EA"/>
    <w:rsid w:val="00B734DA"/>
    <w:rsid w:val="00B739F2"/>
    <w:rsid w:val="00B74356"/>
    <w:rsid w:val="00B7451A"/>
    <w:rsid w:val="00B74730"/>
    <w:rsid w:val="00B74E2B"/>
    <w:rsid w:val="00B759DD"/>
    <w:rsid w:val="00B75DA2"/>
    <w:rsid w:val="00B75E08"/>
    <w:rsid w:val="00B76C3D"/>
    <w:rsid w:val="00B80038"/>
    <w:rsid w:val="00B80A86"/>
    <w:rsid w:val="00B80D67"/>
    <w:rsid w:val="00B80D89"/>
    <w:rsid w:val="00B8104C"/>
    <w:rsid w:val="00B8153A"/>
    <w:rsid w:val="00B81B07"/>
    <w:rsid w:val="00B824CD"/>
    <w:rsid w:val="00B8274E"/>
    <w:rsid w:val="00B82862"/>
    <w:rsid w:val="00B82E79"/>
    <w:rsid w:val="00B835CF"/>
    <w:rsid w:val="00B841CD"/>
    <w:rsid w:val="00B85653"/>
    <w:rsid w:val="00B857E2"/>
    <w:rsid w:val="00B85A39"/>
    <w:rsid w:val="00B85A8A"/>
    <w:rsid w:val="00B85C29"/>
    <w:rsid w:val="00B85FD6"/>
    <w:rsid w:val="00B8656D"/>
    <w:rsid w:val="00B86B29"/>
    <w:rsid w:val="00B87A49"/>
    <w:rsid w:val="00B87E9F"/>
    <w:rsid w:val="00B9045E"/>
    <w:rsid w:val="00B91029"/>
    <w:rsid w:val="00B911C2"/>
    <w:rsid w:val="00B9122C"/>
    <w:rsid w:val="00B9137D"/>
    <w:rsid w:val="00B91AE4"/>
    <w:rsid w:val="00B91B14"/>
    <w:rsid w:val="00B92142"/>
    <w:rsid w:val="00B92B1C"/>
    <w:rsid w:val="00B93254"/>
    <w:rsid w:val="00B936B2"/>
    <w:rsid w:val="00B93748"/>
    <w:rsid w:val="00B939D8"/>
    <w:rsid w:val="00B93DC2"/>
    <w:rsid w:val="00B94117"/>
    <w:rsid w:val="00B94230"/>
    <w:rsid w:val="00B942E9"/>
    <w:rsid w:val="00B942FE"/>
    <w:rsid w:val="00B94EA1"/>
    <w:rsid w:val="00B94EC5"/>
    <w:rsid w:val="00B955F5"/>
    <w:rsid w:val="00B96648"/>
    <w:rsid w:val="00B9720F"/>
    <w:rsid w:val="00B9793F"/>
    <w:rsid w:val="00B97EE8"/>
    <w:rsid w:val="00BA0C6D"/>
    <w:rsid w:val="00BA0D3F"/>
    <w:rsid w:val="00BA0E21"/>
    <w:rsid w:val="00BA1744"/>
    <w:rsid w:val="00BA1E4D"/>
    <w:rsid w:val="00BA2ABB"/>
    <w:rsid w:val="00BA2C0B"/>
    <w:rsid w:val="00BA2E60"/>
    <w:rsid w:val="00BA3546"/>
    <w:rsid w:val="00BA3883"/>
    <w:rsid w:val="00BA39E1"/>
    <w:rsid w:val="00BA4585"/>
    <w:rsid w:val="00BA486C"/>
    <w:rsid w:val="00BA4DBF"/>
    <w:rsid w:val="00BA5085"/>
    <w:rsid w:val="00BA64F9"/>
    <w:rsid w:val="00BA66FC"/>
    <w:rsid w:val="00BA6870"/>
    <w:rsid w:val="00BA761A"/>
    <w:rsid w:val="00BA7A05"/>
    <w:rsid w:val="00BB0270"/>
    <w:rsid w:val="00BB0718"/>
    <w:rsid w:val="00BB0AA3"/>
    <w:rsid w:val="00BB0D3F"/>
    <w:rsid w:val="00BB13A8"/>
    <w:rsid w:val="00BB161B"/>
    <w:rsid w:val="00BB2F62"/>
    <w:rsid w:val="00BB3236"/>
    <w:rsid w:val="00BB3E36"/>
    <w:rsid w:val="00BB4E04"/>
    <w:rsid w:val="00BB55F6"/>
    <w:rsid w:val="00BB5730"/>
    <w:rsid w:val="00BB5A56"/>
    <w:rsid w:val="00BB612F"/>
    <w:rsid w:val="00BB6633"/>
    <w:rsid w:val="00BB6847"/>
    <w:rsid w:val="00BB6F70"/>
    <w:rsid w:val="00BB6FFA"/>
    <w:rsid w:val="00BB7248"/>
    <w:rsid w:val="00BB77BC"/>
    <w:rsid w:val="00BB781F"/>
    <w:rsid w:val="00BB7983"/>
    <w:rsid w:val="00BB7B06"/>
    <w:rsid w:val="00BB7E54"/>
    <w:rsid w:val="00BC02A2"/>
    <w:rsid w:val="00BC051A"/>
    <w:rsid w:val="00BC0D65"/>
    <w:rsid w:val="00BC177C"/>
    <w:rsid w:val="00BC1835"/>
    <w:rsid w:val="00BC18B3"/>
    <w:rsid w:val="00BC1CBE"/>
    <w:rsid w:val="00BC21FA"/>
    <w:rsid w:val="00BC2541"/>
    <w:rsid w:val="00BC292C"/>
    <w:rsid w:val="00BC3EF7"/>
    <w:rsid w:val="00BC4474"/>
    <w:rsid w:val="00BC5025"/>
    <w:rsid w:val="00BC53AE"/>
    <w:rsid w:val="00BC5BC3"/>
    <w:rsid w:val="00BC5C7D"/>
    <w:rsid w:val="00BC6450"/>
    <w:rsid w:val="00BC648A"/>
    <w:rsid w:val="00BC6DCD"/>
    <w:rsid w:val="00BC6EC7"/>
    <w:rsid w:val="00BC724F"/>
    <w:rsid w:val="00BC788C"/>
    <w:rsid w:val="00BC78BB"/>
    <w:rsid w:val="00BC799C"/>
    <w:rsid w:val="00BD0EAE"/>
    <w:rsid w:val="00BD1287"/>
    <w:rsid w:val="00BD1444"/>
    <w:rsid w:val="00BD1886"/>
    <w:rsid w:val="00BD19D1"/>
    <w:rsid w:val="00BD2DD3"/>
    <w:rsid w:val="00BD3905"/>
    <w:rsid w:val="00BD3E0A"/>
    <w:rsid w:val="00BD43BE"/>
    <w:rsid w:val="00BD44C8"/>
    <w:rsid w:val="00BD52EB"/>
    <w:rsid w:val="00BD5353"/>
    <w:rsid w:val="00BD5A8A"/>
    <w:rsid w:val="00BD6902"/>
    <w:rsid w:val="00BD6C44"/>
    <w:rsid w:val="00BD6CB7"/>
    <w:rsid w:val="00BD6F31"/>
    <w:rsid w:val="00BD7012"/>
    <w:rsid w:val="00BD7350"/>
    <w:rsid w:val="00BD73DB"/>
    <w:rsid w:val="00BD7D85"/>
    <w:rsid w:val="00BD7EF8"/>
    <w:rsid w:val="00BE0022"/>
    <w:rsid w:val="00BE01FE"/>
    <w:rsid w:val="00BE02D1"/>
    <w:rsid w:val="00BE120A"/>
    <w:rsid w:val="00BE190B"/>
    <w:rsid w:val="00BE23F6"/>
    <w:rsid w:val="00BE28CF"/>
    <w:rsid w:val="00BE37E0"/>
    <w:rsid w:val="00BE388A"/>
    <w:rsid w:val="00BE3AF3"/>
    <w:rsid w:val="00BE4916"/>
    <w:rsid w:val="00BE4A3B"/>
    <w:rsid w:val="00BE4B3A"/>
    <w:rsid w:val="00BE4CB6"/>
    <w:rsid w:val="00BE4CF5"/>
    <w:rsid w:val="00BE535E"/>
    <w:rsid w:val="00BE581F"/>
    <w:rsid w:val="00BE5D58"/>
    <w:rsid w:val="00BE681A"/>
    <w:rsid w:val="00BE6B0C"/>
    <w:rsid w:val="00BE7062"/>
    <w:rsid w:val="00BE768B"/>
    <w:rsid w:val="00BE76B9"/>
    <w:rsid w:val="00BE7C96"/>
    <w:rsid w:val="00BE7EF6"/>
    <w:rsid w:val="00BF0339"/>
    <w:rsid w:val="00BF04BF"/>
    <w:rsid w:val="00BF085A"/>
    <w:rsid w:val="00BF0B10"/>
    <w:rsid w:val="00BF142E"/>
    <w:rsid w:val="00BF207C"/>
    <w:rsid w:val="00BF2398"/>
    <w:rsid w:val="00BF286D"/>
    <w:rsid w:val="00BF2B98"/>
    <w:rsid w:val="00BF3407"/>
    <w:rsid w:val="00BF3523"/>
    <w:rsid w:val="00BF387C"/>
    <w:rsid w:val="00BF3D8A"/>
    <w:rsid w:val="00BF3E0C"/>
    <w:rsid w:val="00BF420C"/>
    <w:rsid w:val="00BF4C7A"/>
    <w:rsid w:val="00BF500C"/>
    <w:rsid w:val="00BF5515"/>
    <w:rsid w:val="00BF59B6"/>
    <w:rsid w:val="00BF5CD2"/>
    <w:rsid w:val="00BF6236"/>
    <w:rsid w:val="00BF7822"/>
    <w:rsid w:val="00BF7C77"/>
    <w:rsid w:val="00C008D5"/>
    <w:rsid w:val="00C010FA"/>
    <w:rsid w:val="00C011C7"/>
    <w:rsid w:val="00C014ED"/>
    <w:rsid w:val="00C018A3"/>
    <w:rsid w:val="00C01989"/>
    <w:rsid w:val="00C02117"/>
    <w:rsid w:val="00C02477"/>
    <w:rsid w:val="00C02C07"/>
    <w:rsid w:val="00C02D1F"/>
    <w:rsid w:val="00C02E26"/>
    <w:rsid w:val="00C033D6"/>
    <w:rsid w:val="00C03431"/>
    <w:rsid w:val="00C03609"/>
    <w:rsid w:val="00C03911"/>
    <w:rsid w:val="00C03AA6"/>
    <w:rsid w:val="00C03CF6"/>
    <w:rsid w:val="00C04187"/>
    <w:rsid w:val="00C04806"/>
    <w:rsid w:val="00C04B2A"/>
    <w:rsid w:val="00C04B44"/>
    <w:rsid w:val="00C04BC1"/>
    <w:rsid w:val="00C04E46"/>
    <w:rsid w:val="00C04FC9"/>
    <w:rsid w:val="00C0518B"/>
    <w:rsid w:val="00C058DE"/>
    <w:rsid w:val="00C05C90"/>
    <w:rsid w:val="00C061C7"/>
    <w:rsid w:val="00C06CD8"/>
    <w:rsid w:val="00C0725E"/>
    <w:rsid w:val="00C07CD1"/>
    <w:rsid w:val="00C07ECD"/>
    <w:rsid w:val="00C104D8"/>
    <w:rsid w:val="00C104E6"/>
    <w:rsid w:val="00C1093F"/>
    <w:rsid w:val="00C10995"/>
    <w:rsid w:val="00C10A48"/>
    <w:rsid w:val="00C1149B"/>
    <w:rsid w:val="00C11B78"/>
    <w:rsid w:val="00C11CBA"/>
    <w:rsid w:val="00C12814"/>
    <w:rsid w:val="00C12FE1"/>
    <w:rsid w:val="00C132EB"/>
    <w:rsid w:val="00C13565"/>
    <w:rsid w:val="00C13718"/>
    <w:rsid w:val="00C15043"/>
    <w:rsid w:val="00C15402"/>
    <w:rsid w:val="00C15E6F"/>
    <w:rsid w:val="00C16169"/>
    <w:rsid w:val="00C163C2"/>
    <w:rsid w:val="00C168F9"/>
    <w:rsid w:val="00C16B3A"/>
    <w:rsid w:val="00C170B2"/>
    <w:rsid w:val="00C178F2"/>
    <w:rsid w:val="00C17C75"/>
    <w:rsid w:val="00C203E1"/>
    <w:rsid w:val="00C20491"/>
    <w:rsid w:val="00C20647"/>
    <w:rsid w:val="00C20879"/>
    <w:rsid w:val="00C20911"/>
    <w:rsid w:val="00C21070"/>
    <w:rsid w:val="00C2114E"/>
    <w:rsid w:val="00C21C65"/>
    <w:rsid w:val="00C21D72"/>
    <w:rsid w:val="00C2213A"/>
    <w:rsid w:val="00C2237F"/>
    <w:rsid w:val="00C22522"/>
    <w:rsid w:val="00C22BA8"/>
    <w:rsid w:val="00C22EF3"/>
    <w:rsid w:val="00C23F0E"/>
    <w:rsid w:val="00C23FB6"/>
    <w:rsid w:val="00C252AE"/>
    <w:rsid w:val="00C253C3"/>
    <w:rsid w:val="00C255B5"/>
    <w:rsid w:val="00C256FA"/>
    <w:rsid w:val="00C258D6"/>
    <w:rsid w:val="00C261DB"/>
    <w:rsid w:val="00C2624E"/>
    <w:rsid w:val="00C2717D"/>
    <w:rsid w:val="00C27FC0"/>
    <w:rsid w:val="00C301F9"/>
    <w:rsid w:val="00C303C2"/>
    <w:rsid w:val="00C30CAD"/>
    <w:rsid w:val="00C31BCF"/>
    <w:rsid w:val="00C33107"/>
    <w:rsid w:val="00C33117"/>
    <w:rsid w:val="00C3360F"/>
    <w:rsid w:val="00C33790"/>
    <w:rsid w:val="00C337FA"/>
    <w:rsid w:val="00C33A5C"/>
    <w:rsid w:val="00C33AE3"/>
    <w:rsid w:val="00C33B2C"/>
    <w:rsid w:val="00C34737"/>
    <w:rsid w:val="00C34AC1"/>
    <w:rsid w:val="00C34B70"/>
    <w:rsid w:val="00C34ECE"/>
    <w:rsid w:val="00C357EE"/>
    <w:rsid w:val="00C35CBA"/>
    <w:rsid w:val="00C36405"/>
    <w:rsid w:val="00C36595"/>
    <w:rsid w:val="00C3682F"/>
    <w:rsid w:val="00C36D44"/>
    <w:rsid w:val="00C36E07"/>
    <w:rsid w:val="00C36F0E"/>
    <w:rsid w:val="00C37A85"/>
    <w:rsid w:val="00C37EA9"/>
    <w:rsid w:val="00C40158"/>
    <w:rsid w:val="00C406EC"/>
    <w:rsid w:val="00C407B5"/>
    <w:rsid w:val="00C40902"/>
    <w:rsid w:val="00C40BDA"/>
    <w:rsid w:val="00C419A6"/>
    <w:rsid w:val="00C41A83"/>
    <w:rsid w:val="00C41DA4"/>
    <w:rsid w:val="00C4200E"/>
    <w:rsid w:val="00C42872"/>
    <w:rsid w:val="00C42D2C"/>
    <w:rsid w:val="00C43027"/>
    <w:rsid w:val="00C430BD"/>
    <w:rsid w:val="00C433A6"/>
    <w:rsid w:val="00C43494"/>
    <w:rsid w:val="00C43625"/>
    <w:rsid w:val="00C448F9"/>
    <w:rsid w:val="00C44A36"/>
    <w:rsid w:val="00C44AEA"/>
    <w:rsid w:val="00C45871"/>
    <w:rsid w:val="00C45A11"/>
    <w:rsid w:val="00C460E2"/>
    <w:rsid w:val="00C461DF"/>
    <w:rsid w:val="00C468DF"/>
    <w:rsid w:val="00C46FA9"/>
    <w:rsid w:val="00C47197"/>
    <w:rsid w:val="00C471BE"/>
    <w:rsid w:val="00C472EA"/>
    <w:rsid w:val="00C4776C"/>
    <w:rsid w:val="00C47A34"/>
    <w:rsid w:val="00C47A77"/>
    <w:rsid w:val="00C47F89"/>
    <w:rsid w:val="00C507D4"/>
    <w:rsid w:val="00C508A9"/>
    <w:rsid w:val="00C50A84"/>
    <w:rsid w:val="00C51686"/>
    <w:rsid w:val="00C51DBE"/>
    <w:rsid w:val="00C521E1"/>
    <w:rsid w:val="00C52729"/>
    <w:rsid w:val="00C52952"/>
    <w:rsid w:val="00C52959"/>
    <w:rsid w:val="00C529AB"/>
    <w:rsid w:val="00C52A58"/>
    <w:rsid w:val="00C52E68"/>
    <w:rsid w:val="00C5332C"/>
    <w:rsid w:val="00C53D9E"/>
    <w:rsid w:val="00C53DDE"/>
    <w:rsid w:val="00C54056"/>
    <w:rsid w:val="00C54147"/>
    <w:rsid w:val="00C54532"/>
    <w:rsid w:val="00C54963"/>
    <w:rsid w:val="00C550BD"/>
    <w:rsid w:val="00C55343"/>
    <w:rsid w:val="00C55507"/>
    <w:rsid w:val="00C56B0B"/>
    <w:rsid w:val="00C56C6B"/>
    <w:rsid w:val="00C56CB0"/>
    <w:rsid w:val="00C579D9"/>
    <w:rsid w:val="00C57D4D"/>
    <w:rsid w:val="00C60AF8"/>
    <w:rsid w:val="00C610EA"/>
    <w:rsid w:val="00C61E6B"/>
    <w:rsid w:val="00C61FEA"/>
    <w:rsid w:val="00C622C0"/>
    <w:rsid w:val="00C6230F"/>
    <w:rsid w:val="00C626DF"/>
    <w:rsid w:val="00C62A71"/>
    <w:rsid w:val="00C62AB0"/>
    <w:rsid w:val="00C62E4A"/>
    <w:rsid w:val="00C62F02"/>
    <w:rsid w:val="00C631D3"/>
    <w:rsid w:val="00C635DE"/>
    <w:rsid w:val="00C63632"/>
    <w:rsid w:val="00C63D3F"/>
    <w:rsid w:val="00C6411E"/>
    <w:rsid w:val="00C643EC"/>
    <w:rsid w:val="00C64FBE"/>
    <w:rsid w:val="00C65965"/>
    <w:rsid w:val="00C65C70"/>
    <w:rsid w:val="00C66326"/>
    <w:rsid w:val="00C663C5"/>
    <w:rsid w:val="00C679AF"/>
    <w:rsid w:val="00C67B3A"/>
    <w:rsid w:val="00C67FF8"/>
    <w:rsid w:val="00C70248"/>
    <w:rsid w:val="00C7092F"/>
    <w:rsid w:val="00C709EB"/>
    <w:rsid w:val="00C70D3F"/>
    <w:rsid w:val="00C7166F"/>
    <w:rsid w:val="00C71830"/>
    <w:rsid w:val="00C71CA5"/>
    <w:rsid w:val="00C71E2B"/>
    <w:rsid w:val="00C71FAC"/>
    <w:rsid w:val="00C7218C"/>
    <w:rsid w:val="00C721AD"/>
    <w:rsid w:val="00C72629"/>
    <w:rsid w:val="00C72ACA"/>
    <w:rsid w:val="00C73052"/>
    <w:rsid w:val="00C7339D"/>
    <w:rsid w:val="00C733DC"/>
    <w:rsid w:val="00C74037"/>
    <w:rsid w:val="00C7433C"/>
    <w:rsid w:val="00C74433"/>
    <w:rsid w:val="00C74DC3"/>
    <w:rsid w:val="00C74EAA"/>
    <w:rsid w:val="00C74ECA"/>
    <w:rsid w:val="00C74F88"/>
    <w:rsid w:val="00C7503B"/>
    <w:rsid w:val="00C758EE"/>
    <w:rsid w:val="00C75B06"/>
    <w:rsid w:val="00C76C54"/>
    <w:rsid w:val="00C76F90"/>
    <w:rsid w:val="00C7726C"/>
    <w:rsid w:val="00C80910"/>
    <w:rsid w:val="00C80912"/>
    <w:rsid w:val="00C80F9F"/>
    <w:rsid w:val="00C810A7"/>
    <w:rsid w:val="00C81AEA"/>
    <w:rsid w:val="00C81C58"/>
    <w:rsid w:val="00C8274D"/>
    <w:rsid w:val="00C827EB"/>
    <w:rsid w:val="00C82CDD"/>
    <w:rsid w:val="00C82FD3"/>
    <w:rsid w:val="00C83240"/>
    <w:rsid w:val="00C833DC"/>
    <w:rsid w:val="00C83A5C"/>
    <w:rsid w:val="00C83B81"/>
    <w:rsid w:val="00C8466C"/>
    <w:rsid w:val="00C84864"/>
    <w:rsid w:val="00C85778"/>
    <w:rsid w:val="00C85E8D"/>
    <w:rsid w:val="00C85ED6"/>
    <w:rsid w:val="00C8644F"/>
    <w:rsid w:val="00C86B64"/>
    <w:rsid w:val="00C9092A"/>
    <w:rsid w:val="00C917DE"/>
    <w:rsid w:val="00C91E0B"/>
    <w:rsid w:val="00C9213E"/>
    <w:rsid w:val="00C926EF"/>
    <w:rsid w:val="00C92812"/>
    <w:rsid w:val="00C9329B"/>
    <w:rsid w:val="00C9369F"/>
    <w:rsid w:val="00C93B76"/>
    <w:rsid w:val="00C93C27"/>
    <w:rsid w:val="00C946D8"/>
    <w:rsid w:val="00C94D7B"/>
    <w:rsid w:val="00C952B0"/>
    <w:rsid w:val="00C95DCA"/>
    <w:rsid w:val="00C95EC6"/>
    <w:rsid w:val="00C9720E"/>
    <w:rsid w:val="00C972E7"/>
    <w:rsid w:val="00C978DB"/>
    <w:rsid w:val="00C97AC7"/>
    <w:rsid w:val="00CA08E4"/>
    <w:rsid w:val="00CA09D3"/>
    <w:rsid w:val="00CA0CD0"/>
    <w:rsid w:val="00CA0DC2"/>
    <w:rsid w:val="00CA0F26"/>
    <w:rsid w:val="00CA14D1"/>
    <w:rsid w:val="00CA15B2"/>
    <w:rsid w:val="00CA1786"/>
    <w:rsid w:val="00CA1B6D"/>
    <w:rsid w:val="00CA21AD"/>
    <w:rsid w:val="00CA272C"/>
    <w:rsid w:val="00CA2E69"/>
    <w:rsid w:val="00CA3773"/>
    <w:rsid w:val="00CA3819"/>
    <w:rsid w:val="00CA3910"/>
    <w:rsid w:val="00CA4F7B"/>
    <w:rsid w:val="00CA50F8"/>
    <w:rsid w:val="00CA51B7"/>
    <w:rsid w:val="00CA57D0"/>
    <w:rsid w:val="00CA5ADE"/>
    <w:rsid w:val="00CA5EBE"/>
    <w:rsid w:val="00CA64E7"/>
    <w:rsid w:val="00CA6B5C"/>
    <w:rsid w:val="00CA71B2"/>
    <w:rsid w:val="00CA7641"/>
    <w:rsid w:val="00CA7963"/>
    <w:rsid w:val="00CA7A5E"/>
    <w:rsid w:val="00CA7ECD"/>
    <w:rsid w:val="00CB02BC"/>
    <w:rsid w:val="00CB0377"/>
    <w:rsid w:val="00CB0585"/>
    <w:rsid w:val="00CB07CD"/>
    <w:rsid w:val="00CB0C96"/>
    <w:rsid w:val="00CB0E3E"/>
    <w:rsid w:val="00CB0ED0"/>
    <w:rsid w:val="00CB17DB"/>
    <w:rsid w:val="00CB1FBA"/>
    <w:rsid w:val="00CB2176"/>
    <w:rsid w:val="00CB255E"/>
    <w:rsid w:val="00CB2A56"/>
    <w:rsid w:val="00CB2E6F"/>
    <w:rsid w:val="00CB3463"/>
    <w:rsid w:val="00CB37B5"/>
    <w:rsid w:val="00CB3B88"/>
    <w:rsid w:val="00CB3D79"/>
    <w:rsid w:val="00CB3DD5"/>
    <w:rsid w:val="00CB46D2"/>
    <w:rsid w:val="00CB49D6"/>
    <w:rsid w:val="00CB4B75"/>
    <w:rsid w:val="00CB5422"/>
    <w:rsid w:val="00CB5572"/>
    <w:rsid w:val="00CB5D0E"/>
    <w:rsid w:val="00CB6718"/>
    <w:rsid w:val="00CB72C6"/>
    <w:rsid w:val="00CB7CC7"/>
    <w:rsid w:val="00CB7E8F"/>
    <w:rsid w:val="00CC0724"/>
    <w:rsid w:val="00CC0D18"/>
    <w:rsid w:val="00CC0D65"/>
    <w:rsid w:val="00CC10F2"/>
    <w:rsid w:val="00CC137A"/>
    <w:rsid w:val="00CC1500"/>
    <w:rsid w:val="00CC1860"/>
    <w:rsid w:val="00CC1D23"/>
    <w:rsid w:val="00CC1D92"/>
    <w:rsid w:val="00CC2290"/>
    <w:rsid w:val="00CC247A"/>
    <w:rsid w:val="00CC25AD"/>
    <w:rsid w:val="00CC2654"/>
    <w:rsid w:val="00CC2D41"/>
    <w:rsid w:val="00CC312F"/>
    <w:rsid w:val="00CC331E"/>
    <w:rsid w:val="00CC333A"/>
    <w:rsid w:val="00CC403E"/>
    <w:rsid w:val="00CC4CF6"/>
    <w:rsid w:val="00CC4F82"/>
    <w:rsid w:val="00CC535D"/>
    <w:rsid w:val="00CC5B61"/>
    <w:rsid w:val="00CC5C07"/>
    <w:rsid w:val="00CC663C"/>
    <w:rsid w:val="00CC6B90"/>
    <w:rsid w:val="00CC6C56"/>
    <w:rsid w:val="00CD03D4"/>
    <w:rsid w:val="00CD0677"/>
    <w:rsid w:val="00CD0F62"/>
    <w:rsid w:val="00CD0F89"/>
    <w:rsid w:val="00CD1CF8"/>
    <w:rsid w:val="00CD2025"/>
    <w:rsid w:val="00CD25F1"/>
    <w:rsid w:val="00CD29CF"/>
    <w:rsid w:val="00CD2C7E"/>
    <w:rsid w:val="00CD317E"/>
    <w:rsid w:val="00CD32B0"/>
    <w:rsid w:val="00CD3513"/>
    <w:rsid w:val="00CD38A9"/>
    <w:rsid w:val="00CD39A7"/>
    <w:rsid w:val="00CD3A31"/>
    <w:rsid w:val="00CD4B92"/>
    <w:rsid w:val="00CD4BD4"/>
    <w:rsid w:val="00CD5DD2"/>
    <w:rsid w:val="00CD618D"/>
    <w:rsid w:val="00CD634F"/>
    <w:rsid w:val="00CD661E"/>
    <w:rsid w:val="00CD6915"/>
    <w:rsid w:val="00CD693F"/>
    <w:rsid w:val="00CD6CFB"/>
    <w:rsid w:val="00CD7165"/>
    <w:rsid w:val="00CD7C41"/>
    <w:rsid w:val="00CE0124"/>
    <w:rsid w:val="00CE02E8"/>
    <w:rsid w:val="00CE04DE"/>
    <w:rsid w:val="00CE04E1"/>
    <w:rsid w:val="00CE0AFE"/>
    <w:rsid w:val="00CE0D39"/>
    <w:rsid w:val="00CE0DFE"/>
    <w:rsid w:val="00CE0F53"/>
    <w:rsid w:val="00CE10A0"/>
    <w:rsid w:val="00CE11D1"/>
    <w:rsid w:val="00CE14BD"/>
    <w:rsid w:val="00CE27B8"/>
    <w:rsid w:val="00CE2F3C"/>
    <w:rsid w:val="00CE3028"/>
    <w:rsid w:val="00CE3149"/>
    <w:rsid w:val="00CE3376"/>
    <w:rsid w:val="00CE33F7"/>
    <w:rsid w:val="00CE37CC"/>
    <w:rsid w:val="00CE3954"/>
    <w:rsid w:val="00CE4197"/>
    <w:rsid w:val="00CE47F9"/>
    <w:rsid w:val="00CE495E"/>
    <w:rsid w:val="00CE4A4F"/>
    <w:rsid w:val="00CE4BA1"/>
    <w:rsid w:val="00CE55B5"/>
    <w:rsid w:val="00CE66C3"/>
    <w:rsid w:val="00CE68CF"/>
    <w:rsid w:val="00CE6FB4"/>
    <w:rsid w:val="00CE7319"/>
    <w:rsid w:val="00CE74B9"/>
    <w:rsid w:val="00CE7594"/>
    <w:rsid w:val="00CE792E"/>
    <w:rsid w:val="00CE7BAE"/>
    <w:rsid w:val="00CF0565"/>
    <w:rsid w:val="00CF09B0"/>
    <w:rsid w:val="00CF0C80"/>
    <w:rsid w:val="00CF1373"/>
    <w:rsid w:val="00CF144F"/>
    <w:rsid w:val="00CF1514"/>
    <w:rsid w:val="00CF1EBA"/>
    <w:rsid w:val="00CF1F6A"/>
    <w:rsid w:val="00CF2060"/>
    <w:rsid w:val="00CF23C1"/>
    <w:rsid w:val="00CF2C3C"/>
    <w:rsid w:val="00CF3972"/>
    <w:rsid w:val="00CF42E7"/>
    <w:rsid w:val="00CF43BF"/>
    <w:rsid w:val="00CF4D2D"/>
    <w:rsid w:val="00CF5808"/>
    <w:rsid w:val="00CF5DA3"/>
    <w:rsid w:val="00CF6AA6"/>
    <w:rsid w:val="00CF74F3"/>
    <w:rsid w:val="00CF7965"/>
    <w:rsid w:val="00CF7A8B"/>
    <w:rsid w:val="00CF7B12"/>
    <w:rsid w:val="00CF7CF1"/>
    <w:rsid w:val="00CF7EBE"/>
    <w:rsid w:val="00D0004C"/>
    <w:rsid w:val="00D0043D"/>
    <w:rsid w:val="00D006BF"/>
    <w:rsid w:val="00D00948"/>
    <w:rsid w:val="00D00E17"/>
    <w:rsid w:val="00D00F25"/>
    <w:rsid w:val="00D01002"/>
    <w:rsid w:val="00D011CD"/>
    <w:rsid w:val="00D01280"/>
    <w:rsid w:val="00D01DA9"/>
    <w:rsid w:val="00D02CD8"/>
    <w:rsid w:val="00D02F2C"/>
    <w:rsid w:val="00D02FD4"/>
    <w:rsid w:val="00D0358A"/>
    <w:rsid w:val="00D036EB"/>
    <w:rsid w:val="00D03782"/>
    <w:rsid w:val="00D03BF6"/>
    <w:rsid w:val="00D04295"/>
    <w:rsid w:val="00D04A1B"/>
    <w:rsid w:val="00D04AB7"/>
    <w:rsid w:val="00D05362"/>
    <w:rsid w:val="00D055C9"/>
    <w:rsid w:val="00D055FA"/>
    <w:rsid w:val="00D057F9"/>
    <w:rsid w:val="00D05D82"/>
    <w:rsid w:val="00D06344"/>
    <w:rsid w:val="00D067E5"/>
    <w:rsid w:val="00D06D89"/>
    <w:rsid w:val="00D07018"/>
    <w:rsid w:val="00D10495"/>
    <w:rsid w:val="00D10854"/>
    <w:rsid w:val="00D113E9"/>
    <w:rsid w:val="00D116B8"/>
    <w:rsid w:val="00D11F74"/>
    <w:rsid w:val="00D1247D"/>
    <w:rsid w:val="00D12CD7"/>
    <w:rsid w:val="00D12E87"/>
    <w:rsid w:val="00D13BB7"/>
    <w:rsid w:val="00D14090"/>
    <w:rsid w:val="00D148AD"/>
    <w:rsid w:val="00D14D8F"/>
    <w:rsid w:val="00D159A2"/>
    <w:rsid w:val="00D15F82"/>
    <w:rsid w:val="00D1611A"/>
    <w:rsid w:val="00D16A27"/>
    <w:rsid w:val="00D16C75"/>
    <w:rsid w:val="00D1799C"/>
    <w:rsid w:val="00D17B2D"/>
    <w:rsid w:val="00D17EEB"/>
    <w:rsid w:val="00D20DBC"/>
    <w:rsid w:val="00D2126C"/>
    <w:rsid w:val="00D213BB"/>
    <w:rsid w:val="00D21F8B"/>
    <w:rsid w:val="00D2223C"/>
    <w:rsid w:val="00D223B5"/>
    <w:rsid w:val="00D226B3"/>
    <w:rsid w:val="00D228B7"/>
    <w:rsid w:val="00D23133"/>
    <w:rsid w:val="00D243E5"/>
    <w:rsid w:val="00D247CF"/>
    <w:rsid w:val="00D24EF6"/>
    <w:rsid w:val="00D24F4C"/>
    <w:rsid w:val="00D25605"/>
    <w:rsid w:val="00D25B0D"/>
    <w:rsid w:val="00D2622F"/>
    <w:rsid w:val="00D26AD6"/>
    <w:rsid w:val="00D26DAC"/>
    <w:rsid w:val="00D26DB7"/>
    <w:rsid w:val="00D26E4F"/>
    <w:rsid w:val="00D26EFC"/>
    <w:rsid w:val="00D27766"/>
    <w:rsid w:val="00D279F9"/>
    <w:rsid w:val="00D27D4B"/>
    <w:rsid w:val="00D30F55"/>
    <w:rsid w:val="00D317A4"/>
    <w:rsid w:val="00D31B9B"/>
    <w:rsid w:val="00D31BE2"/>
    <w:rsid w:val="00D31EF2"/>
    <w:rsid w:val="00D322FF"/>
    <w:rsid w:val="00D326A3"/>
    <w:rsid w:val="00D337EC"/>
    <w:rsid w:val="00D33905"/>
    <w:rsid w:val="00D339D4"/>
    <w:rsid w:val="00D33E72"/>
    <w:rsid w:val="00D34E31"/>
    <w:rsid w:val="00D34EC6"/>
    <w:rsid w:val="00D3502B"/>
    <w:rsid w:val="00D356AB"/>
    <w:rsid w:val="00D35865"/>
    <w:rsid w:val="00D35922"/>
    <w:rsid w:val="00D3601B"/>
    <w:rsid w:val="00D36126"/>
    <w:rsid w:val="00D3647A"/>
    <w:rsid w:val="00D365ED"/>
    <w:rsid w:val="00D3703D"/>
    <w:rsid w:val="00D3768F"/>
    <w:rsid w:val="00D37989"/>
    <w:rsid w:val="00D37CFB"/>
    <w:rsid w:val="00D40979"/>
    <w:rsid w:val="00D43DE4"/>
    <w:rsid w:val="00D43F6B"/>
    <w:rsid w:val="00D440E4"/>
    <w:rsid w:val="00D44237"/>
    <w:rsid w:val="00D44986"/>
    <w:rsid w:val="00D44CC4"/>
    <w:rsid w:val="00D45C09"/>
    <w:rsid w:val="00D45CF0"/>
    <w:rsid w:val="00D45E14"/>
    <w:rsid w:val="00D46EC8"/>
    <w:rsid w:val="00D47596"/>
    <w:rsid w:val="00D50DFA"/>
    <w:rsid w:val="00D5100F"/>
    <w:rsid w:val="00D51FFB"/>
    <w:rsid w:val="00D52022"/>
    <w:rsid w:val="00D521C0"/>
    <w:rsid w:val="00D52C25"/>
    <w:rsid w:val="00D53134"/>
    <w:rsid w:val="00D5330E"/>
    <w:rsid w:val="00D5395E"/>
    <w:rsid w:val="00D53DB6"/>
    <w:rsid w:val="00D557D9"/>
    <w:rsid w:val="00D558DD"/>
    <w:rsid w:val="00D56748"/>
    <w:rsid w:val="00D573D2"/>
    <w:rsid w:val="00D60ADB"/>
    <w:rsid w:val="00D61267"/>
    <w:rsid w:val="00D613B5"/>
    <w:rsid w:val="00D614BD"/>
    <w:rsid w:val="00D61785"/>
    <w:rsid w:val="00D61AC9"/>
    <w:rsid w:val="00D61B9D"/>
    <w:rsid w:val="00D62452"/>
    <w:rsid w:val="00D627A4"/>
    <w:rsid w:val="00D62D0A"/>
    <w:rsid w:val="00D636A1"/>
    <w:rsid w:val="00D63784"/>
    <w:rsid w:val="00D63C73"/>
    <w:rsid w:val="00D640EC"/>
    <w:rsid w:val="00D657F1"/>
    <w:rsid w:val="00D65A47"/>
    <w:rsid w:val="00D65CB3"/>
    <w:rsid w:val="00D65D4D"/>
    <w:rsid w:val="00D66D68"/>
    <w:rsid w:val="00D66F43"/>
    <w:rsid w:val="00D67E9E"/>
    <w:rsid w:val="00D70F60"/>
    <w:rsid w:val="00D717A7"/>
    <w:rsid w:val="00D71A53"/>
    <w:rsid w:val="00D71CD8"/>
    <w:rsid w:val="00D71DFF"/>
    <w:rsid w:val="00D722B1"/>
    <w:rsid w:val="00D7262B"/>
    <w:rsid w:val="00D72802"/>
    <w:rsid w:val="00D72A23"/>
    <w:rsid w:val="00D72C32"/>
    <w:rsid w:val="00D72C9A"/>
    <w:rsid w:val="00D72F10"/>
    <w:rsid w:val="00D73081"/>
    <w:rsid w:val="00D734B6"/>
    <w:rsid w:val="00D7379B"/>
    <w:rsid w:val="00D737BD"/>
    <w:rsid w:val="00D73E45"/>
    <w:rsid w:val="00D74216"/>
    <w:rsid w:val="00D74326"/>
    <w:rsid w:val="00D74523"/>
    <w:rsid w:val="00D7459D"/>
    <w:rsid w:val="00D74ACF"/>
    <w:rsid w:val="00D74E76"/>
    <w:rsid w:val="00D75123"/>
    <w:rsid w:val="00D75289"/>
    <w:rsid w:val="00D765DE"/>
    <w:rsid w:val="00D76A41"/>
    <w:rsid w:val="00D76F40"/>
    <w:rsid w:val="00D7779A"/>
    <w:rsid w:val="00D77F46"/>
    <w:rsid w:val="00D8016D"/>
    <w:rsid w:val="00D802FC"/>
    <w:rsid w:val="00D80644"/>
    <w:rsid w:val="00D809CE"/>
    <w:rsid w:val="00D810C1"/>
    <w:rsid w:val="00D814D4"/>
    <w:rsid w:val="00D81519"/>
    <w:rsid w:val="00D8156F"/>
    <w:rsid w:val="00D817EB"/>
    <w:rsid w:val="00D81ACF"/>
    <w:rsid w:val="00D81F3E"/>
    <w:rsid w:val="00D8203E"/>
    <w:rsid w:val="00D82309"/>
    <w:rsid w:val="00D82692"/>
    <w:rsid w:val="00D827C7"/>
    <w:rsid w:val="00D830EB"/>
    <w:rsid w:val="00D83835"/>
    <w:rsid w:val="00D83E4C"/>
    <w:rsid w:val="00D83E8B"/>
    <w:rsid w:val="00D844F1"/>
    <w:rsid w:val="00D84840"/>
    <w:rsid w:val="00D84871"/>
    <w:rsid w:val="00D8501C"/>
    <w:rsid w:val="00D8545B"/>
    <w:rsid w:val="00D8568D"/>
    <w:rsid w:val="00D85763"/>
    <w:rsid w:val="00D857E3"/>
    <w:rsid w:val="00D85A90"/>
    <w:rsid w:val="00D85AE6"/>
    <w:rsid w:val="00D85B8E"/>
    <w:rsid w:val="00D85B95"/>
    <w:rsid w:val="00D85DDC"/>
    <w:rsid w:val="00D862BE"/>
    <w:rsid w:val="00D873DC"/>
    <w:rsid w:val="00D8773B"/>
    <w:rsid w:val="00D87A9D"/>
    <w:rsid w:val="00D91125"/>
    <w:rsid w:val="00D914B3"/>
    <w:rsid w:val="00D91A5F"/>
    <w:rsid w:val="00D91D09"/>
    <w:rsid w:val="00D91DCF"/>
    <w:rsid w:val="00D927D9"/>
    <w:rsid w:val="00D92B1E"/>
    <w:rsid w:val="00D930C2"/>
    <w:rsid w:val="00D9340C"/>
    <w:rsid w:val="00D949B1"/>
    <w:rsid w:val="00D9556F"/>
    <w:rsid w:val="00D96C36"/>
    <w:rsid w:val="00D9711B"/>
    <w:rsid w:val="00D9723E"/>
    <w:rsid w:val="00D97254"/>
    <w:rsid w:val="00D97855"/>
    <w:rsid w:val="00DA00E7"/>
    <w:rsid w:val="00DA0F20"/>
    <w:rsid w:val="00DA1084"/>
    <w:rsid w:val="00DA11EE"/>
    <w:rsid w:val="00DA18CA"/>
    <w:rsid w:val="00DA2801"/>
    <w:rsid w:val="00DA28E3"/>
    <w:rsid w:val="00DA2C0C"/>
    <w:rsid w:val="00DA32AD"/>
    <w:rsid w:val="00DA3B23"/>
    <w:rsid w:val="00DA3CB2"/>
    <w:rsid w:val="00DA3F1E"/>
    <w:rsid w:val="00DA4045"/>
    <w:rsid w:val="00DA4335"/>
    <w:rsid w:val="00DA4403"/>
    <w:rsid w:val="00DA4630"/>
    <w:rsid w:val="00DA4D7A"/>
    <w:rsid w:val="00DA5207"/>
    <w:rsid w:val="00DA5600"/>
    <w:rsid w:val="00DA5AB5"/>
    <w:rsid w:val="00DA625F"/>
    <w:rsid w:val="00DA637A"/>
    <w:rsid w:val="00DA71D2"/>
    <w:rsid w:val="00DA7C41"/>
    <w:rsid w:val="00DA7E1F"/>
    <w:rsid w:val="00DB0213"/>
    <w:rsid w:val="00DB07C6"/>
    <w:rsid w:val="00DB0BF2"/>
    <w:rsid w:val="00DB11E1"/>
    <w:rsid w:val="00DB13AB"/>
    <w:rsid w:val="00DB2091"/>
    <w:rsid w:val="00DB2C8D"/>
    <w:rsid w:val="00DB34B8"/>
    <w:rsid w:val="00DB369C"/>
    <w:rsid w:val="00DB383F"/>
    <w:rsid w:val="00DB38FF"/>
    <w:rsid w:val="00DB4107"/>
    <w:rsid w:val="00DB43AE"/>
    <w:rsid w:val="00DB5A44"/>
    <w:rsid w:val="00DB5F80"/>
    <w:rsid w:val="00DB6213"/>
    <w:rsid w:val="00DB624F"/>
    <w:rsid w:val="00DB639A"/>
    <w:rsid w:val="00DB6644"/>
    <w:rsid w:val="00DB6FB7"/>
    <w:rsid w:val="00DB7367"/>
    <w:rsid w:val="00DC01D2"/>
    <w:rsid w:val="00DC02C6"/>
    <w:rsid w:val="00DC0308"/>
    <w:rsid w:val="00DC1A84"/>
    <w:rsid w:val="00DC1BD8"/>
    <w:rsid w:val="00DC1DCF"/>
    <w:rsid w:val="00DC1DE1"/>
    <w:rsid w:val="00DC20F2"/>
    <w:rsid w:val="00DC2170"/>
    <w:rsid w:val="00DC23A6"/>
    <w:rsid w:val="00DC2518"/>
    <w:rsid w:val="00DC2833"/>
    <w:rsid w:val="00DC2878"/>
    <w:rsid w:val="00DC28D6"/>
    <w:rsid w:val="00DC2C34"/>
    <w:rsid w:val="00DC3177"/>
    <w:rsid w:val="00DC38D0"/>
    <w:rsid w:val="00DC3FE3"/>
    <w:rsid w:val="00DC41FD"/>
    <w:rsid w:val="00DC4BA9"/>
    <w:rsid w:val="00DC4F60"/>
    <w:rsid w:val="00DC5043"/>
    <w:rsid w:val="00DC5458"/>
    <w:rsid w:val="00DC63D2"/>
    <w:rsid w:val="00DC6A80"/>
    <w:rsid w:val="00DC6B97"/>
    <w:rsid w:val="00DC70A2"/>
    <w:rsid w:val="00DC74B7"/>
    <w:rsid w:val="00DC7892"/>
    <w:rsid w:val="00DC7A11"/>
    <w:rsid w:val="00DC7E1B"/>
    <w:rsid w:val="00DC7EC3"/>
    <w:rsid w:val="00DD031F"/>
    <w:rsid w:val="00DD0A17"/>
    <w:rsid w:val="00DD0CB9"/>
    <w:rsid w:val="00DD1155"/>
    <w:rsid w:val="00DD11E2"/>
    <w:rsid w:val="00DD126F"/>
    <w:rsid w:val="00DD12FB"/>
    <w:rsid w:val="00DD1340"/>
    <w:rsid w:val="00DD150A"/>
    <w:rsid w:val="00DD1A10"/>
    <w:rsid w:val="00DD219A"/>
    <w:rsid w:val="00DD29E1"/>
    <w:rsid w:val="00DD2AF0"/>
    <w:rsid w:val="00DD2C94"/>
    <w:rsid w:val="00DD36CE"/>
    <w:rsid w:val="00DD3A30"/>
    <w:rsid w:val="00DD3AE9"/>
    <w:rsid w:val="00DD415A"/>
    <w:rsid w:val="00DD468D"/>
    <w:rsid w:val="00DD4E9C"/>
    <w:rsid w:val="00DD4FEB"/>
    <w:rsid w:val="00DD57D2"/>
    <w:rsid w:val="00DD5C91"/>
    <w:rsid w:val="00DD601D"/>
    <w:rsid w:val="00DD676E"/>
    <w:rsid w:val="00DD758E"/>
    <w:rsid w:val="00DE0BFC"/>
    <w:rsid w:val="00DE1248"/>
    <w:rsid w:val="00DE12A5"/>
    <w:rsid w:val="00DE1679"/>
    <w:rsid w:val="00DE172C"/>
    <w:rsid w:val="00DE1AD7"/>
    <w:rsid w:val="00DE1C70"/>
    <w:rsid w:val="00DE1DD7"/>
    <w:rsid w:val="00DE27D5"/>
    <w:rsid w:val="00DE2A69"/>
    <w:rsid w:val="00DE2EB5"/>
    <w:rsid w:val="00DE3376"/>
    <w:rsid w:val="00DE3766"/>
    <w:rsid w:val="00DE4A9E"/>
    <w:rsid w:val="00DE4AC9"/>
    <w:rsid w:val="00DE4F77"/>
    <w:rsid w:val="00DE5360"/>
    <w:rsid w:val="00DE53CC"/>
    <w:rsid w:val="00DE6488"/>
    <w:rsid w:val="00DE70CB"/>
    <w:rsid w:val="00DE72CD"/>
    <w:rsid w:val="00DE73ED"/>
    <w:rsid w:val="00DE74C9"/>
    <w:rsid w:val="00DE7BD2"/>
    <w:rsid w:val="00DF0087"/>
    <w:rsid w:val="00DF0234"/>
    <w:rsid w:val="00DF023B"/>
    <w:rsid w:val="00DF0A36"/>
    <w:rsid w:val="00DF0BCF"/>
    <w:rsid w:val="00DF15D1"/>
    <w:rsid w:val="00DF17D0"/>
    <w:rsid w:val="00DF1BF9"/>
    <w:rsid w:val="00DF2402"/>
    <w:rsid w:val="00DF2E47"/>
    <w:rsid w:val="00DF3B06"/>
    <w:rsid w:val="00DF3BF9"/>
    <w:rsid w:val="00DF40AC"/>
    <w:rsid w:val="00DF4766"/>
    <w:rsid w:val="00DF507A"/>
    <w:rsid w:val="00DF565A"/>
    <w:rsid w:val="00DF5C51"/>
    <w:rsid w:val="00DF61E7"/>
    <w:rsid w:val="00DF6D63"/>
    <w:rsid w:val="00DF6E5A"/>
    <w:rsid w:val="00DF7176"/>
    <w:rsid w:val="00DF7918"/>
    <w:rsid w:val="00DF7B2E"/>
    <w:rsid w:val="00DF7C9A"/>
    <w:rsid w:val="00DF7D76"/>
    <w:rsid w:val="00E0038C"/>
    <w:rsid w:val="00E00759"/>
    <w:rsid w:val="00E00A46"/>
    <w:rsid w:val="00E00C38"/>
    <w:rsid w:val="00E01112"/>
    <w:rsid w:val="00E01269"/>
    <w:rsid w:val="00E01532"/>
    <w:rsid w:val="00E01812"/>
    <w:rsid w:val="00E018F6"/>
    <w:rsid w:val="00E01FB9"/>
    <w:rsid w:val="00E029F3"/>
    <w:rsid w:val="00E03283"/>
    <w:rsid w:val="00E03330"/>
    <w:rsid w:val="00E03756"/>
    <w:rsid w:val="00E03966"/>
    <w:rsid w:val="00E0425E"/>
    <w:rsid w:val="00E04BA6"/>
    <w:rsid w:val="00E04CF3"/>
    <w:rsid w:val="00E05FCE"/>
    <w:rsid w:val="00E062F8"/>
    <w:rsid w:val="00E06A9B"/>
    <w:rsid w:val="00E06D0F"/>
    <w:rsid w:val="00E06D3D"/>
    <w:rsid w:val="00E07662"/>
    <w:rsid w:val="00E07B5C"/>
    <w:rsid w:val="00E1011F"/>
    <w:rsid w:val="00E1021A"/>
    <w:rsid w:val="00E1034E"/>
    <w:rsid w:val="00E10B5F"/>
    <w:rsid w:val="00E113BA"/>
    <w:rsid w:val="00E11800"/>
    <w:rsid w:val="00E1216D"/>
    <w:rsid w:val="00E131E8"/>
    <w:rsid w:val="00E1345E"/>
    <w:rsid w:val="00E1428C"/>
    <w:rsid w:val="00E14303"/>
    <w:rsid w:val="00E14D17"/>
    <w:rsid w:val="00E151C9"/>
    <w:rsid w:val="00E154E6"/>
    <w:rsid w:val="00E1551A"/>
    <w:rsid w:val="00E158E5"/>
    <w:rsid w:val="00E15BFB"/>
    <w:rsid w:val="00E15ECE"/>
    <w:rsid w:val="00E16A97"/>
    <w:rsid w:val="00E170CE"/>
    <w:rsid w:val="00E17730"/>
    <w:rsid w:val="00E17FA9"/>
    <w:rsid w:val="00E202A3"/>
    <w:rsid w:val="00E20D5C"/>
    <w:rsid w:val="00E2117B"/>
    <w:rsid w:val="00E211BE"/>
    <w:rsid w:val="00E2121E"/>
    <w:rsid w:val="00E21D00"/>
    <w:rsid w:val="00E21E01"/>
    <w:rsid w:val="00E2209E"/>
    <w:rsid w:val="00E227B0"/>
    <w:rsid w:val="00E22CEE"/>
    <w:rsid w:val="00E2365F"/>
    <w:rsid w:val="00E23870"/>
    <w:rsid w:val="00E23AA3"/>
    <w:rsid w:val="00E2412E"/>
    <w:rsid w:val="00E24A41"/>
    <w:rsid w:val="00E24E5A"/>
    <w:rsid w:val="00E25977"/>
    <w:rsid w:val="00E26504"/>
    <w:rsid w:val="00E27C75"/>
    <w:rsid w:val="00E30B23"/>
    <w:rsid w:val="00E31AA4"/>
    <w:rsid w:val="00E31E5D"/>
    <w:rsid w:val="00E31FDA"/>
    <w:rsid w:val="00E3204E"/>
    <w:rsid w:val="00E3228D"/>
    <w:rsid w:val="00E32628"/>
    <w:rsid w:val="00E329F3"/>
    <w:rsid w:val="00E32C6E"/>
    <w:rsid w:val="00E32CF1"/>
    <w:rsid w:val="00E32D3B"/>
    <w:rsid w:val="00E3315C"/>
    <w:rsid w:val="00E331F2"/>
    <w:rsid w:val="00E333F9"/>
    <w:rsid w:val="00E33C5A"/>
    <w:rsid w:val="00E33EFC"/>
    <w:rsid w:val="00E3442F"/>
    <w:rsid w:val="00E346F6"/>
    <w:rsid w:val="00E34E86"/>
    <w:rsid w:val="00E35780"/>
    <w:rsid w:val="00E36311"/>
    <w:rsid w:val="00E36B42"/>
    <w:rsid w:val="00E3743C"/>
    <w:rsid w:val="00E37592"/>
    <w:rsid w:val="00E403D6"/>
    <w:rsid w:val="00E4044C"/>
    <w:rsid w:val="00E40612"/>
    <w:rsid w:val="00E408F4"/>
    <w:rsid w:val="00E40B65"/>
    <w:rsid w:val="00E40BEA"/>
    <w:rsid w:val="00E40D64"/>
    <w:rsid w:val="00E40EED"/>
    <w:rsid w:val="00E40FCD"/>
    <w:rsid w:val="00E41401"/>
    <w:rsid w:val="00E4193C"/>
    <w:rsid w:val="00E42FA7"/>
    <w:rsid w:val="00E42FB3"/>
    <w:rsid w:val="00E43071"/>
    <w:rsid w:val="00E4361D"/>
    <w:rsid w:val="00E43B60"/>
    <w:rsid w:val="00E43C1A"/>
    <w:rsid w:val="00E43FDA"/>
    <w:rsid w:val="00E44895"/>
    <w:rsid w:val="00E448A5"/>
    <w:rsid w:val="00E45135"/>
    <w:rsid w:val="00E458F7"/>
    <w:rsid w:val="00E45C7C"/>
    <w:rsid w:val="00E4645E"/>
    <w:rsid w:val="00E4660C"/>
    <w:rsid w:val="00E46A78"/>
    <w:rsid w:val="00E46C84"/>
    <w:rsid w:val="00E47349"/>
    <w:rsid w:val="00E47A6A"/>
    <w:rsid w:val="00E50F17"/>
    <w:rsid w:val="00E51070"/>
    <w:rsid w:val="00E52BD7"/>
    <w:rsid w:val="00E52F2B"/>
    <w:rsid w:val="00E53248"/>
    <w:rsid w:val="00E5471F"/>
    <w:rsid w:val="00E54736"/>
    <w:rsid w:val="00E54F46"/>
    <w:rsid w:val="00E5509A"/>
    <w:rsid w:val="00E55491"/>
    <w:rsid w:val="00E556AE"/>
    <w:rsid w:val="00E5626C"/>
    <w:rsid w:val="00E57280"/>
    <w:rsid w:val="00E576AC"/>
    <w:rsid w:val="00E57F8A"/>
    <w:rsid w:val="00E60721"/>
    <w:rsid w:val="00E60BD1"/>
    <w:rsid w:val="00E612C4"/>
    <w:rsid w:val="00E625EB"/>
    <w:rsid w:val="00E6264B"/>
    <w:rsid w:val="00E6265D"/>
    <w:rsid w:val="00E62918"/>
    <w:rsid w:val="00E629EE"/>
    <w:rsid w:val="00E62D51"/>
    <w:rsid w:val="00E62E6F"/>
    <w:rsid w:val="00E631EE"/>
    <w:rsid w:val="00E63276"/>
    <w:rsid w:val="00E63E2A"/>
    <w:rsid w:val="00E6446D"/>
    <w:rsid w:val="00E64A12"/>
    <w:rsid w:val="00E659B8"/>
    <w:rsid w:val="00E65A6C"/>
    <w:rsid w:val="00E65A7C"/>
    <w:rsid w:val="00E665EC"/>
    <w:rsid w:val="00E66B3B"/>
    <w:rsid w:val="00E66E9E"/>
    <w:rsid w:val="00E670EB"/>
    <w:rsid w:val="00E67684"/>
    <w:rsid w:val="00E67A44"/>
    <w:rsid w:val="00E67C12"/>
    <w:rsid w:val="00E67CED"/>
    <w:rsid w:val="00E67D0D"/>
    <w:rsid w:val="00E702B2"/>
    <w:rsid w:val="00E70FFC"/>
    <w:rsid w:val="00E71A2A"/>
    <w:rsid w:val="00E71AA8"/>
    <w:rsid w:val="00E71E16"/>
    <w:rsid w:val="00E720F1"/>
    <w:rsid w:val="00E7268B"/>
    <w:rsid w:val="00E72C77"/>
    <w:rsid w:val="00E73163"/>
    <w:rsid w:val="00E735F9"/>
    <w:rsid w:val="00E741FC"/>
    <w:rsid w:val="00E7435E"/>
    <w:rsid w:val="00E746D2"/>
    <w:rsid w:val="00E75770"/>
    <w:rsid w:val="00E75AE1"/>
    <w:rsid w:val="00E75EF5"/>
    <w:rsid w:val="00E76076"/>
    <w:rsid w:val="00E76153"/>
    <w:rsid w:val="00E76ABE"/>
    <w:rsid w:val="00E7722B"/>
    <w:rsid w:val="00E7789D"/>
    <w:rsid w:val="00E77C00"/>
    <w:rsid w:val="00E809C1"/>
    <w:rsid w:val="00E80F90"/>
    <w:rsid w:val="00E81D05"/>
    <w:rsid w:val="00E822DF"/>
    <w:rsid w:val="00E82A64"/>
    <w:rsid w:val="00E82F09"/>
    <w:rsid w:val="00E837CD"/>
    <w:rsid w:val="00E83879"/>
    <w:rsid w:val="00E839A8"/>
    <w:rsid w:val="00E83EE9"/>
    <w:rsid w:val="00E84095"/>
    <w:rsid w:val="00E84827"/>
    <w:rsid w:val="00E84E2C"/>
    <w:rsid w:val="00E85A5A"/>
    <w:rsid w:val="00E85CF2"/>
    <w:rsid w:val="00E86B22"/>
    <w:rsid w:val="00E86C93"/>
    <w:rsid w:val="00E8723A"/>
    <w:rsid w:val="00E87296"/>
    <w:rsid w:val="00E87ADF"/>
    <w:rsid w:val="00E87C80"/>
    <w:rsid w:val="00E87D8C"/>
    <w:rsid w:val="00E90936"/>
    <w:rsid w:val="00E90949"/>
    <w:rsid w:val="00E91644"/>
    <w:rsid w:val="00E917C5"/>
    <w:rsid w:val="00E91CAB"/>
    <w:rsid w:val="00E92600"/>
    <w:rsid w:val="00E92672"/>
    <w:rsid w:val="00E92C17"/>
    <w:rsid w:val="00E92D53"/>
    <w:rsid w:val="00E937C9"/>
    <w:rsid w:val="00E93F0B"/>
    <w:rsid w:val="00E9425E"/>
    <w:rsid w:val="00E949F8"/>
    <w:rsid w:val="00E94A0E"/>
    <w:rsid w:val="00E94A9A"/>
    <w:rsid w:val="00E9624B"/>
    <w:rsid w:val="00E965E9"/>
    <w:rsid w:val="00E9686F"/>
    <w:rsid w:val="00E968A1"/>
    <w:rsid w:val="00E972FA"/>
    <w:rsid w:val="00E9746D"/>
    <w:rsid w:val="00E974A8"/>
    <w:rsid w:val="00EA01ED"/>
    <w:rsid w:val="00EA02A2"/>
    <w:rsid w:val="00EA0F92"/>
    <w:rsid w:val="00EA18AF"/>
    <w:rsid w:val="00EA2159"/>
    <w:rsid w:val="00EA2A37"/>
    <w:rsid w:val="00EA2E4F"/>
    <w:rsid w:val="00EA310C"/>
    <w:rsid w:val="00EA3305"/>
    <w:rsid w:val="00EA3FE3"/>
    <w:rsid w:val="00EA447E"/>
    <w:rsid w:val="00EA4B22"/>
    <w:rsid w:val="00EA4CDC"/>
    <w:rsid w:val="00EA515A"/>
    <w:rsid w:val="00EA5285"/>
    <w:rsid w:val="00EA55DA"/>
    <w:rsid w:val="00EA5B0A"/>
    <w:rsid w:val="00EA5BBE"/>
    <w:rsid w:val="00EA5CDD"/>
    <w:rsid w:val="00EA5F0C"/>
    <w:rsid w:val="00EA5F39"/>
    <w:rsid w:val="00EA6487"/>
    <w:rsid w:val="00EA6B2F"/>
    <w:rsid w:val="00EA6BE9"/>
    <w:rsid w:val="00EA6DB0"/>
    <w:rsid w:val="00EA70DD"/>
    <w:rsid w:val="00EA76FE"/>
    <w:rsid w:val="00EB042B"/>
    <w:rsid w:val="00EB1E5B"/>
    <w:rsid w:val="00EB2850"/>
    <w:rsid w:val="00EB2B2F"/>
    <w:rsid w:val="00EB3619"/>
    <w:rsid w:val="00EB38E8"/>
    <w:rsid w:val="00EB3C33"/>
    <w:rsid w:val="00EB3DBE"/>
    <w:rsid w:val="00EB4817"/>
    <w:rsid w:val="00EB4B01"/>
    <w:rsid w:val="00EB4DD2"/>
    <w:rsid w:val="00EB4ECB"/>
    <w:rsid w:val="00EB4F7D"/>
    <w:rsid w:val="00EB5355"/>
    <w:rsid w:val="00EB5C66"/>
    <w:rsid w:val="00EB7172"/>
    <w:rsid w:val="00EB71AF"/>
    <w:rsid w:val="00EB74F4"/>
    <w:rsid w:val="00EB7B0B"/>
    <w:rsid w:val="00EB7B36"/>
    <w:rsid w:val="00EB7C72"/>
    <w:rsid w:val="00EB7E37"/>
    <w:rsid w:val="00EC0255"/>
    <w:rsid w:val="00EC02D8"/>
    <w:rsid w:val="00EC075C"/>
    <w:rsid w:val="00EC0E6E"/>
    <w:rsid w:val="00EC1567"/>
    <w:rsid w:val="00EC1BD7"/>
    <w:rsid w:val="00EC1C57"/>
    <w:rsid w:val="00EC1F49"/>
    <w:rsid w:val="00EC25EA"/>
    <w:rsid w:val="00EC260D"/>
    <w:rsid w:val="00EC2BC3"/>
    <w:rsid w:val="00EC2C49"/>
    <w:rsid w:val="00EC309F"/>
    <w:rsid w:val="00EC3FB4"/>
    <w:rsid w:val="00EC43B4"/>
    <w:rsid w:val="00EC43F9"/>
    <w:rsid w:val="00EC448C"/>
    <w:rsid w:val="00EC49CF"/>
    <w:rsid w:val="00EC5D50"/>
    <w:rsid w:val="00EC6DF6"/>
    <w:rsid w:val="00EC7226"/>
    <w:rsid w:val="00EC72C3"/>
    <w:rsid w:val="00EC7EB3"/>
    <w:rsid w:val="00ED055D"/>
    <w:rsid w:val="00ED0933"/>
    <w:rsid w:val="00ED0DCA"/>
    <w:rsid w:val="00ED0FF2"/>
    <w:rsid w:val="00ED12BA"/>
    <w:rsid w:val="00ED18B9"/>
    <w:rsid w:val="00ED2122"/>
    <w:rsid w:val="00ED2B6D"/>
    <w:rsid w:val="00ED31DA"/>
    <w:rsid w:val="00ED31E5"/>
    <w:rsid w:val="00ED3B8D"/>
    <w:rsid w:val="00ED540F"/>
    <w:rsid w:val="00ED6646"/>
    <w:rsid w:val="00ED6A07"/>
    <w:rsid w:val="00ED6C09"/>
    <w:rsid w:val="00ED6C73"/>
    <w:rsid w:val="00ED6FCF"/>
    <w:rsid w:val="00ED7AC8"/>
    <w:rsid w:val="00ED7DCE"/>
    <w:rsid w:val="00ED7ECB"/>
    <w:rsid w:val="00EE015F"/>
    <w:rsid w:val="00EE1359"/>
    <w:rsid w:val="00EE155E"/>
    <w:rsid w:val="00EE1DD0"/>
    <w:rsid w:val="00EE219B"/>
    <w:rsid w:val="00EE21E7"/>
    <w:rsid w:val="00EE24ED"/>
    <w:rsid w:val="00EE3441"/>
    <w:rsid w:val="00EE396F"/>
    <w:rsid w:val="00EE4894"/>
    <w:rsid w:val="00EE48EB"/>
    <w:rsid w:val="00EE4FDE"/>
    <w:rsid w:val="00EE552C"/>
    <w:rsid w:val="00EE5B2E"/>
    <w:rsid w:val="00EE5DEF"/>
    <w:rsid w:val="00EE6166"/>
    <w:rsid w:val="00EE6E78"/>
    <w:rsid w:val="00EE777D"/>
    <w:rsid w:val="00EE77AC"/>
    <w:rsid w:val="00EE77BF"/>
    <w:rsid w:val="00EF0A3A"/>
    <w:rsid w:val="00EF0CF5"/>
    <w:rsid w:val="00EF15D8"/>
    <w:rsid w:val="00EF160B"/>
    <w:rsid w:val="00EF17B1"/>
    <w:rsid w:val="00EF1972"/>
    <w:rsid w:val="00EF212C"/>
    <w:rsid w:val="00EF21CA"/>
    <w:rsid w:val="00EF2291"/>
    <w:rsid w:val="00EF2ACF"/>
    <w:rsid w:val="00EF2C8D"/>
    <w:rsid w:val="00EF2CCD"/>
    <w:rsid w:val="00EF3656"/>
    <w:rsid w:val="00EF3938"/>
    <w:rsid w:val="00EF409F"/>
    <w:rsid w:val="00EF42C2"/>
    <w:rsid w:val="00EF4CA5"/>
    <w:rsid w:val="00EF5AC4"/>
    <w:rsid w:val="00EF628E"/>
    <w:rsid w:val="00EF6AEB"/>
    <w:rsid w:val="00EF6CDD"/>
    <w:rsid w:val="00EF6D6F"/>
    <w:rsid w:val="00EF7679"/>
    <w:rsid w:val="00EF7864"/>
    <w:rsid w:val="00EF7FC8"/>
    <w:rsid w:val="00F00365"/>
    <w:rsid w:val="00F005A0"/>
    <w:rsid w:val="00F005F8"/>
    <w:rsid w:val="00F008B6"/>
    <w:rsid w:val="00F00D41"/>
    <w:rsid w:val="00F00E49"/>
    <w:rsid w:val="00F01136"/>
    <w:rsid w:val="00F014A8"/>
    <w:rsid w:val="00F01860"/>
    <w:rsid w:val="00F01976"/>
    <w:rsid w:val="00F01C24"/>
    <w:rsid w:val="00F01F69"/>
    <w:rsid w:val="00F02873"/>
    <w:rsid w:val="00F029AC"/>
    <w:rsid w:val="00F034F4"/>
    <w:rsid w:val="00F03A48"/>
    <w:rsid w:val="00F03E9A"/>
    <w:rsid w:val="00F042A9"/>
    <w:rsid w:val="00F04685"/>
    <w:rsid w:val="00F04A28"/>
    <w:rsid w:val="00F04C27"/>
    <w:rsid w:val="00F04D5C"/>
    <w:rsid w:val="00F05061"/>
    <w:rsid w:val="00F05390"/>
    <w:rsid w:val="00F05789"/>
    <w:rsid w:val="00F05C85"/>
    <w:rsid w:val="00F06DA0"/>
    <w:rsid w:val="00F0704A"/>
    <w:rsid w:val="00F077CC"/>
    <w:rsid w:val="00F07ABE"/>
    <w:rsid w:val="00F10483"/>
    <w:rsid w:val="00F111BF"/>
    <w:rsid w:val="00F114BB"/>
    <w:rsid w:val="00F11C45"/>
    <w:rsid w:val="00F11DEC"/>
    <w:rsid w:val="00F11FAB"/>
    <w:rsid w:val="00F126CC"/>
    <w:rsid w:val="00F141DF"/>
    <w:rsid w:val="00F14674"/>
    <w:rsid w:val="00F1484C"/>
    <w:rsid w:val="00F148E5"/>
    <w:rsid w:val="00F14A6B"/>
    <w:rsid w:val="00F14DD7"/>
    <w:rsid w:val="00F1574D"/>
    <w:rsid w:val="00F1609D"/>
    <w:rsid w:val="00F1619C"/>
    <w:rsid w:val="00F163BC"/>
    <w:rsid w:val="00F167D5"/>
    <w:rsid w:val="00F16867"/>
    <w:rsid w:val="00F169D8"/>
    <w:rsid w:val="00F16BB0"/>
    <w:rsid w:val="00F171C2"/>
    <w:rsid w:val="00F17600"/>
    <w:rsid w:val="00F17690"/>
    <w:rsid w:val="00F1776B"/>
    <w:rsid w:val="00F1789F"/>
    <w:rsid w:val="00F17CCD"/>
    <w:rsid w:val="00F17FC5"/>
    <w:rsid w:val="00F21400"/>
    <w:rsid w:val="00F22B92"/>
    <w:rsid w:val="00F22E8F"/>
    <w:rsid w:val="00F230B6"/>
    <w:rsid w:val="00F24FC4"/>
    <w:rsid w:val="00F25033"/>
    <w:rsid w:val="00F25623"/>
    <w:rsid w:val="00F259A7"/>
    <w:rsid w:val="00F25AF7"/>
    <w:rsid w:val="00F263A7"/>
    <w:rsid w:val="00F27030"/>
    <w:rsid w:val="00F27B5F"/>
    <w:rsid w:val="00F27CE9"/>
    <w:rsid w:val="00F301BC"/>
    <w:rsid w:val="00F30465"/>
    <w:rsid w:val="00F30805"/>
    <w:rsid w:val="00F30AEF"/>
    <w:rsid w:val="00F30BEC"/>
    <w:rsid w:val="00F30D23"/>
    <w:rsid w:val="00F31993"/>
    <w:rsid w:val="00F31D53"/>
    <w:rsid w:val="00F31FA0"/>
    <w:rsid w:val="00F32EF4"/>
    <w:rsid w:val="00F34182"/>
    <w:rsid w:val="00F342CD"/>
    <w:rsid w:val="00F35DEC"/>
    <w:rsid w:val="00F361F3"/>
    <w:rsid w:val="00F363D3"/>
    <w:rsid w:val="00F3673A"/>
    <w:rsid w:val="00F374F4"/>
    <w:rsid w:val="00F37FA4"/>
    <w:rsid w:val="00F4004E"/>
    <w:rsid w:val="00F40861"/>
    <w:rsid w:val="00F40B1B"/>
    <w:rsid w:val="00F415AD"/>
    <w:rsid w:val="00F416AE"/>
    <w:rsid w:val="00F41E26"/>
    <w:rsid w:val="00F42510"/>
    <w:rsid w:val="00F4257B"/>
    <w:rsid w:val="00F430DD"/>
    <w:rsid w:val="00F43195"/>
    <w:rsid w:val="00F43331"/>
    <w:rsid w:val="00F43E20"/>
    <w:rsid w:val="00F442F7"/>
    <w:rsid w:val="00F444F9"/>
    <w:rsid w:val="00F4454F"/>
    <w:rsid w:val="00F45A9C"/>
    <w:rsid w:val="00F46A7A"/>
    <w:rsid w:val="00F46E0F"/>
    <w:rsid w:val="00F47774"/>
    <w:rsid w:val="00F50401"/>
    <w:rsid w:val="00F50EC8"/>
    <w:rsid w:val="00F516E2"/>
    <w:rsid w:val="00F51781"/>
    <w:rsid w:val="00F5198C"/>
    <w:rsid w:val="00F51D7D"/>
    <w:rsid w:val="00F51F59"/>
    <w:rsid w:val="00F525C2"/>
    <w:rsid w:val="00F52C1D"/>
    <w:rsid w:val="00F52FAA"/>
    <w:rsid w:val="00F53502"/>
    <w:rsid w:val="00F53A81"/>
    <w:rsid w:val="00F53D76"/>
    <w:rsid w:val="00F54CAB"/>
    <w:rsid w:val="00F56042"/>
    <w:rsid w:val="00F566B2"/>
    <w:rsid w:val="00F56C8B"/>
    <w:rsid w:val="00F56CFC"/>
    <w:rsid w:val="00F5745A"/>
    <w:rsid w:val="00F60045"/>
    <w:rsid w:val="00F60768"/>
    <w:rsid w:val="00F624FA"/>
    <w:rsid w:val="00F62745"/>
    <w:rsid w:val="00F629CA"/>
    <w:rsid w:val="00F62A0D"/>
    <w:rsid w:val="00F63138"/>
    <w:rsid w:val="00F635C1"/>
    <w:rsid w:val="00F637AB"/>
    <w:rsid w:val="00F63A77"/>
    <w:rsid w:val="00F63C99"/>
    <w:rsid w:val="00F64087"/>
    <w:rsid w:val="00F6410E"/>
    <w:rsid w:val="00F64271"/>
    <w:rsid w:val="00F6468C"/>
    <w:rsid w:val="00F64C18"/>
    <w:rsid w:val="00F64CAF"/>
    <w:rsid w:val="00F652E3"/>
    <w:rsid w:val="00F65A0A"/>
    <w:rsid w:val="00F65D80"/>
    <w:rsid w:val="00F66426"/>
    <w:rsid w:val="00F665B7"/>
    <w:rsid w:val="00F6698B"/>
    <w:rsid w:val="00F66DA9"/>
    <w:rsid w:val="00F67036"/>
    <w:rsid w:val="00F6788B"/>
    <w:rsid w:val="00F6799A"/>
    <w:rsid w:val="00F67AE8"/>
    <w:rsid w:val="00F67D16"/>
    <w:rsid w:val="00F67E02"/>
    <w:rsid w:val="00F700C7"/>
    <w:rsid w:val="00F70263"/>
    <w:rsid w:val="00F706EA"/>
    <w:rsid w:val="00F70DD0"/>
    <w:rsid w:val="00F713B8"/>
    <w:rsid w:val="00F71426"/>
    <w:rsid w:val="00F71CF5"/>
    <w:rsid w:val="00F71DD8"/>
    <w:rsid w:val="00F71EA9"/>
    <w:rsid w:val="00F72065"/>
    <w:rsid w:val="00F720E2"/>
    <w:rsid w:val="00F72869"/>
    <w:rsid w:val="00F729AF"/>
    <w:rsid w:val="00F72B7C"/>
    <w:rsid w:val="00F72E53"/>
    <w:rsid w:val="00F73C1D"/>
    <w:rsid w:val="00F74F34"/>
    <w:rsid w:val="00F7515C"/>
    <w:rsid w:val="00F7548C"/>
    <w:rsid w:val="00F75A73"/>
    <w:rsid w:val="00F75F59"/>
    <w:rsid w:val="00F761D3"/>
    <w:rsid w:val="00F76263"/>
    <w:rsid w:val="00F76624"/>
    <w:rsid w:val="00F76E0B"/>
    <w:rsid w:val="00F772F0"/>
    <w:rsid w:val="00F774A2"/>
    <w:rsid w:val="00F77979"/>
    <w:rsid w:val="00F80770"/>
    <w:rsid w:val="00F80CAF"/>
    <w:rsid w:val="00F80F33"/>
    <w:rsid w:val="00F81904"/>
    <w:rsid w:val="00F81B63"/>
    <w:rsid w:val="00F81DD6"/>
    <w:rsid w:val="00F820A6"/>
    <w:rsid w:val="00F820BF"/>
    <w:rsid w:val="00F825DF"/>
    <w:rsid w:val="00F82FBE"/>
    <w:rsid w:val="00F83165"/>
    <w:rsid w:val="00F83AF3"/>
    <w:rsid w:val="00F83B23"/>
    <w:rsid w:val="00F84077"/>
    <w:rsid w:val="00F84182"/>
    <w:rsid w:val="00F84A46"/>
    <w:rsid w:val="00F84B05"/>
    <w:rsid w:val="00F856B3"/>
    <w:rsid w:val="00F85862"/>
    <w:rsid w:val="00F85E1E"/>
    <w:rsid w:val="00F86531"/>
    <w:rsid w:val="00F86A77"/>
    <w:rsid w:val="00F86C01"/>
    <w:rsid w:val="00F86C97"/>
    <w:rsid w:val="00F87791"/>
    <w:rsid w:val="00F879BC"/>
    <w:rsid w:val="00F9034B"/>
    <w:rsid w:val="00F915BB"/>
    <w:rsid w:val="00F92FE0"/>
    <w:rsid w:val="00F93734"/>
    <w:rsid w:val="00F93BD9"/>
    <w:rsid w:val="00F94162"/>
    <w:rsid w:val="00F9446B"/>
    <w:rsid w:val="00F94637"/>
    <w:rsid w:val="00F948AE"/>
    <w:rsid w:val="00F94E95"/>
    <w:rsid w:val="00F950BA"/>
    <w:rsid w:val="00F959B5"/>
    <w:rsid w:val="00F96502"/>
    <w:rsid w:val="00F967EE"/>
    <w:rsid w:val="00F96954"/>
    <w:rsid w:val="00F96E28"/>
    <w:rsid w:val="00F97952"/>
    <w:rsid w:val="00F979F0"/>
    <w:rsid w:val="00FA01F5"/>
    <w:rsid w:val="00FA03E9"/>
    <w:rsid w:val="00FA0B46"/>
    <w:rsid w:val="00FA100C"/>
    <w:rsid w:val="00FA1691"/>
    <w:rsid w:val="00FA17A1"/>
    <w:rsid w:val="00FA2D70"/>
    <w:rsid w:val="00FA3060"/>
    <w:rsid w:val="00FA315C"/>
    <w:rsid w:val="00FA350E"/>
    <w:rsid w:val="00FA3A50"/>
    <w:rsid w:val="00FA3C87"/>
    <w:rsid w:val="00FA3F40"/>
    <w:rsid w:val="00FA494A"/>
    <w:rsid w:val="00FA4A16"/>
    <w:rsid w:val="00FA51D6"/>
    <w:rsid w:val="00FA557A"/>
    <w:rsid w:val="00FA5AF6"/>
    <w:rsid w:val="00FA63D4"/>
    <w:rsid w:val="00FA6455"/>
    <w:rsid w:val="00FA6EB3"/>
    <w:rsid w:val="00FA7870"/>
    <w:rsid w:val="00FA78E8"/>
    <w:rsid w:val="00FA7B63"/>
    <w:rsid w:val="00FB0CF9"/>
    <w:rsid w:val="00FB198C"/>
    <w:rsid w:val="00FB1AC8"/>
    <w:rsid w:val="00FB1B3D"/>
    <w:rsid w:val="00FB283F"/>
    <w:rsid w:val="00FB29EE"/>
    <w:rsid w:val="00FB2A63"/>
    <w:rsid w:val="00FB2F1D"/>
    <w:rsid w:val="00FB2F83"/>
    <w:rsid w:val="00FB348A"/>
    <w:rsid w:val="00FB3E1E"/>
    <w:rsid w:val="00FB3F24"/>
    <w:rsid w:val="00FB41DF"/>
    <w:rsid w:val="00FB4674"/>
    <w:rsid w:val="00FB46CA"/>
    <w:rsid w:val="00FB47DA"/>
    <w:rsid w:val="00FB483D"/>
    <w:rsid w:val="00FB499C"/>
    <w:rsid w:val="00FB54C9"/>
    <w:rsid w:val="00FB55F9"/>
    <w:rsid w:val="00FB5E0A"/>
    <w:rsid w:val="00FB69A3"/>
    <w:rsid w:val="00FB6A32"/>
    <w:rsid w:val="00FB6C3A"/>
    <w:rsid w:val="00FB73D6"/>
    <w:rsid w:val="00FC0029"/>
    <w:rsid w:val="00FC00B0"/>
    <w:rsid w:val="00FC0236"/>
    <w:rsid w:val="00FC0F57"/>
    <w:rsid w:val="00FC1974"/>
    <w:rsid w:val="00FC1E67"/>
    <w:rsid w:val="00FC27BB"/>
    <w:rsid w:val="00FC2D5E"/>
    <w:rsid w:val="00FC3025"/>
    <w:rsid w:val="00FC34D9"/>
    <w:rsid w:val="00FC3721"/>
    <w:rsid w:val="00FC3E8D"/>
    <w:rsid w:val="00FC4134"/>
    <w:rsid w:val="00FC45B1"/>
    <w:rsid w:val="00FC47D4"/>
    <w:rsid w:val="00FC4A69"/>
    <w:rsid w:val="00FC4ED4"/>
    <w:rsid w:val="00FC5A8D"/>
    <w:rsid w:val="00FC5C4B"/>
    <w:rsid w:val="00FC5EFB"/>
    <w:rsid w:val="00FC60D4"/>
    <w:rsid w:val="00FC6189"/>
    <w:rsid w:val="00FC66F9"/>
    <w:rsid w:val="00FC7CEB"/>
    <w:rsid w:val="00FD0650"/>
    <w:rsid w:val="00FD06A9"/>
    <w:rsid w:val="00FD0F78"/>
    <w:rsid w:val="00FD21B3"/>
    <w:rsid w:val="00FD2241"/>
    <w:rsid w:val="00FD2664"/>
    <w:rsid w:val="00FD2836"/>
    <w:rsid w:val="00FD3040"/>
    <w:rsid w:val="00FD42F4"/>
    <w:rsid w:val="00FD6112"/>
    <w:rsid w:val="00FD7462"/>
    <w:rsid w:val="00FD7743"/>
    <w:rsid w:val="00FD7850"/>
    <w:rsid w:val="00FE00AC"/>
    <w:rsid w:val="00FE0917"/>
    <w:rsid w:val="00FE0942"/>
    <w:rsid w:val="00FE17BF"/>
    <w:rsid w:val="00FE18C2"/>
    <w:rsid w:val="00FE1961"/>
    <w:rsid w:val="00FE1972"/>
    <w:rsid w:val="00FE217A"/>
    <w:rsid w:val="00FE2182"/>
    <w:rsid w:val="00FE230D"/>
    <w:rsid w:val="00FE3196"/>
    <w:rsid w:val="00FE386E"/>
    <w:rsid w:val="00FE4013"/>
    <w:rsid w:val="00FE426A"/>
    <w:rsid w:val="00FE4970"/>
    <w:rsid w:val="00FE4DA9"/>
    <w:rsid w:val="00FE56B6"/>
    <w:rsid w:val="00FE5A3F"/>
    <w:rsid w:val="00FE6782"/>
    <w:rsid w:val="00FE7317"/>
    <w:rsid w:val="00FF015B"/>
    <w:rsid w:val="00FF0A2C"/>
    <w:rsid w:val="00FF0B60"/>
    <w:rsid w:val="00FF0DEC"/>
    <w:rsid w:val="00FF1101"/>
    <w:rsid w:val="00FF1386"/>
    <w:rsid w:val="00FF1388"/>
    <w:rsid w:val="00FF16A0"/>
    <w:rsid w:val="00FF1962"/>
    <w:rsid w:val="00FF1A82"/>
    <w:rsid w:val="00FF1F30"/>
    <w:rsid w:val="00FF22DE"/>
    <w:rsid w:val="00FF2320"/>
    <w:rsid w:val="00FF289C"/>
    <w:rsid w:val="00FF2F6C"/>
    <w:rsid w:val="00FF347E"/>
    <w:rsid w:val="00FF3517"/>
    <w:rsid w:val="00FF3B61"/>
    <w:rsid w:val="00FF3E8E"/>
    <w:rsid w:val="00FF3F0C"/>
    <w:rsid w:val="00FF401B"/>
    <w:rsid w:val="00FF4020"/>
    <w:rsid w:val="00FF4946"/>
    <w:rsid w:val="00FF4A63"/>
    <w:rsid w:val="00FF50A2"/>
    <w:rsid w:val="00FF50B6"/>
    <w:rsid w:val="00FF5145"/>
    <w:rsid w:val="00FF5160"/>
    <w:rsid w:val="00FF5595"/>
    <w:rsid w:val="00FF5C05"/>
    <w:rsid w:val="00FF5F25"/>
    <w:rsid w:val="00FF605B"/>
    <w:rsid w:val="00FF6172"/>
    <w:rsid w:val="00FF6376"/>
    <w:rsid w:val="00FF659E"/>
    <w:rsid w:val="00FF74C4"/>
    <w:rsid w:val="00FF79CA"/>
    <w:rsid w:val="56D403A4"/>
    <w:rsid w:val="639C08A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sdException w:qFormat="1" w:unhideWhenUsed="0" w:uiPriority="39" w:semiHidden="0" w:name="toc 2"/>
    <w:lsdException w:qFormat="1" w:unhideWhenUsed="0" w:uiPriority="39" w:semiHidden="0"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qFormat="1" w:unhideWhenUsed="0" w:uiPriority="99" w:semiHidden="0"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qFormat="1" w:unhideWhenUsed="0" w:uiPriority="99" w:semiHidden="0" w:name="footnote reference"/>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uiPriority="99" w:name="Body Text" w:locked="1"/>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uiPriority="99" w:name="Body Text First Indent" w:locked="1"/>
    <w:lsdException w:qFormat="1" w:unhideWhenUsed="0" w:uiPriority="99" w:name="Body Text First Indent 2"/>
    <w:lsdException w:uiPriority="99" w:name="Note Heading" w:locked="1"/>
    <w:lsdException w:uiPriority="99" w:name="Body Text 2" w:locked="1"/>
    <w:lsdException w:uiPriority="99" w:name="Body Text 3" w:locked="1"/>
    <w:lsdException w:qFormat="1" w:unhideWhenUsed="0" w:uiPriority="99"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qFormat="1" w:unhideWhenUsed="0" w:uiPriority="99" w:semiHidden="0" w:name="Table Professional"/>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ind w:firstLine="200" w:firstLineChars="200"/>
      <w:jc w:val="both"/>
    </w:pPr>
    <w:rPr>
      <w:rFonts w:ascii="宋体" w:hAnsi="宋体" w:eastAsia="仿宋" w:cs="Times New Roman"/>
      <w:kern w:val="2"/>
      <w:sz w:val="28"/>
      <w:szCs w:val="24"/>
      <w:lang w:val="en-US" w:eastAsia="zh-CN" w:bidi="ar-SA"/>
    </w:rPr>
  </w:style>
  <w:style w:type="paragraph" w:styleId="2">
    <w:name w:val="heading 1"/>
    <w:basedOn w:val="1"/>
    <w:next w:val="1"/>
    <w:link w:val="41"/>
    <w:qFormat/>
    <w:uiPriority w:val="99"/>
    <w:pPr>
      <w:keepNext/>
      <w:keepLines/>
      <w:spacing w:before="340" w:after="330" w:line="578" w:lineRule="atLeast"/>
      <w:outlineLvl w:val="0"/>
    </w:pPr>
    <w:rPr>
      <w:b/>
      <w:bCs/>
      <w:kern w:val="44"/>
      <w:sz w:val="44"/>
      <w:szCs w:val="44"/>
    </w:rPr>
  </w:style>
  <w:style w:type="paragraph" w:styleId="3">
    <w:name w:val="heading 2"/>
    <w:basedOn w:val="1"/>
    <w:next w:val="1"/>
    <w:link w:val="42"/>
    <w:qFormat/>
    <w:uiPriority w:val="99"/>
    <w:pPr>
      <w:keepNext/>
      <w:keepLines/>
      <w:spacing w:before="260" w:after="260" w:line="416" w:lineRule="atLeast"/>
      <w:outlineLvl w:val="1"/>
    </w:pPr>
    <w:rPr>
      <w:rFonts w:ascii="Calibri Light" w:hAnsi="Calibri Light" w:eastAsia="宋体"/>
      <w:b/>
      <w:bCs/>
      <w:sz w:val="32"/>
      <w:szCs w:val="32"/>
    </w:rPr>
  </w:style>
  <w:style w:type="paragraph" w:styleId="4">
    <w:name w:val="heading 3"/>
    <w:basedOn w:val="1"/>
    <w:next w:val="1"/>
    <w:link w:val="43"/>
    <w:qFormat/>
    <w:uiPriority w:val="99"/>
    <w:pPr>
      <w:keepNext/>
      <w:keepLines/>
      <w:spacing w:before="260" w:after="260" w:line="416" w:lineRule="auto"/>
      <w:outlineLvl w:val="2"/>
    </w:pPr>
    <w:rPr>
      <w:b/>
      <w:bCs/>
      <w:sz w:val="32"/>
      <w:szCs w:val="32"/>
    </w:rPr>
  </w:style>
  <w:style w:type="paragraph" w:styleId="5">
    <w:name w:val="heading 4"/>
    <w:basedOn w:val="1"/>
    <w:next w:val="1"/>
    <w:link w:val="44"/>
    <w:qFormat/>
    <w:uiPriority w:val="99"/>
    <w:pPr>
      <w:keepNext/>
      <w:keepLines/>
      <w:autoSpaceDE/>
      <w:autoSpaceDN/>
      <w:spacing w:before="280" w:after="290" w:line="376" w:lineRule="auto"/>
      <w:ind w:firstLine="0" w:firstLineChars="0"/>
      <w:outlineLvl w:val="3"/>
    </w:pPr>
    <w:rPr>
      <w:rFonts w:ascii="Calibri Light" w:hAnsi="Calibri Light" w:eastAsia="宋体"/>
      <w:b/>
      <w:bCs/>
      <w:szCs w:val="28"/>
    </w:rPr>
  </w:style>
  <w:style w:type="paragraph" w:styleId="6">
    <w:name w:val="heading 5"/>
    <w:basedOn w:val="1"/>
    <w:next w:val="1"/>
    <w:link w:val="45"/>
    <w:qFormat/>
    <w:uiPriority w:val="99"/>
    <w:pPr>
      <w:keepNext/>
      <w:keepLines/>
      <w:spacing w:before="280" w:after="290" w:line="376" w:lineRule="atLeast"/>
      <w:outlineLvl w:val="4"/>
    </w:pPr>
    <w:rPr>
      <w:rFonts w:eastAsia="宋体"/>
      <w:b/>
      <w:bCs/>
      <w:szCs w:val="28"/>
    </w:rPr>
  </w:style>
  <w:style w:type="paragraph" w:styleId="7">
    <w:name w:val="heading 6"/>
    <w:basedOn w:val="1"/>
    <w:next w:val="1"/>
    <w:link w:val="46"/>
    <w:qFormat/>
    <w:uiPriority w:val="99"/>
    <w:pPr>
      <w:keepNext/>
      <w:keepLines/>
      <w:spacing w:before="240" w:after="64" w:line="320" w:lineRule="atLeast"/>
      <w:outlineLvl w:val="5"/>
    </w:pPr>
    <w:rPr>
      <w:rFonts w:ascii="Cambria" w:hAnsi="Cambria" w:eastAsia="宋体"/>
      <w:b/>
      <w:bCs/>
      <w:sz w:val="24"/>
    </w:rPr>
  </w:style>
  <w:style w:type="paragraph" w:styleId="8">
    <w:name w:val="heading 7"/>
    <w:basedOn w:val="1"/>
    <w:next w:val="1"/>
    <w:link w:val="47"/>
    <w:qFormat/>
    <w:uiPriority w:val="99"/>
    <w:pPr>
      <w:keepNext/>
      <w:keepLines/>
      <w:spacing w:before="240" w:after="64" w:line="320" w:lineRule="atLeast"/>
      <w:outlineLvl w:val="6"/>
    </w:pPr>
    <w:rPr>
      <w:rFonts w:eastAsia="宋体"/>
      <w:b/>
      <w:bCs/>
      <w:sz w:val="24"/>
    </w:rPr>
  </w:style>
  <w:style w:type="paragraph" w:styleId="9">
    <w:name w:val="heading 8"/>
    <w:basedOn w:val="1"/>
    <w:next w:val="1"/>
    <w:link w:val="48"/>
    <w:qFormat/>
    <w:uiPriority w:val="99"/>
    <w:pPr>
      <w:keepNext/>
      <w:keepLines/>
      <w:spacing w:before="240" w:after="64" w:line="320" w:lineRule="auto"/>
      <w:outlineLvl w:val="7"/>
    </w:pPr>
    <w:rPr>
      <w:rFonts w:ascii="Cambria" w:hAnsi="Cambria" w:eastAsia="宋体"/>
      <w:sz w:val="24"/>
    </w:rPr>
  </w:style>
  <w:style w:type="paragraph" w:styleId="10">
    <w:name w:val="heading 9"/>
    <w:basedOn w:val="1"/>
    <w:next w:val="1"/>
    <w:link w:val="49"/>
    <w:qFormat/>
    <w:uiPriority w:val="99"/>
    <w:pPr>
      <w:keepNext/>
      <w:keepLines/>
      <w:spacing w:before="240" w:after="64" w:line="320" w:lineRule="atLeast"/>
      <w:outlineLvl w:val="8"/>
    </w:pPr>
    <w:rPr>
      <w:rFonts w:ascii="Cambria" w:hAnsi="Cambria" w:eastAsia="宋体"/>
      <w:sz w:val="21"/>
      <w:szCs w:val="21"/>
    </w:rPr>
  </w:style>
  <w:style w:type="character" w:default="1" w:styleId="33">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11">
    <w:name w:val="Document Map"/>
    <w:basedOn w:val="1"/>
    <w:link w:val="75"/>
    <w:semiHidden/>
    <w:qFormat/>
    <w:uiPriority w:val="99"/>
    <w:rPr>
      <w:rFonts w:eastAsia="宋体"/>
      <w:sz w:val="18"/>
      <w:szCs w:val="18"/>
    </w:rPr>
  </w:style>
  <w:style w:type="paragraph" w:styleId="12">
    <w:name w:val="annotation text"/>
    <w:basedOn w:val="1"/>
    <w:link w:val="125"/>
    <w:semiHidden/>
    <w:qFormat/>
    <w:uiPriority w:val="99"/>
    <w:pPr>
      <w:autoSpaceDE/>
      <w:autoSpaceDN/>
      <w:spacing w:line="520" w:lineRule="exact"/>
      <w:ind w:firstLine="480"/>
      <w:jc w:val="left"/>
    </w:pPr>
    <w:rPr>
      <w:rFonts w:eastAsia="宋体"/>
      <w:sz w:val="24"/>
    </w:rPr>
  </w:style>
  <w:style w:type="paragraph" w:styleId="13">
    <w:name w:val="Body Text Indent"/>
    <w:basedOn w:val="1"/>
    <w:link w:val="81"/>
    <w:qFormat/>
    <w:uiPriority w:val="99"/>
    <w:pPr>
      <w:widowControl/>
      <w:autoSpaceDE/>
      <w:autoSpaceDN/>
      <w:spacing w:after="120"/>
      <w:ind w:left="420" w:leftChars="200" w:firstLine="0" w:firstLineChars="0"/>
      <w:jc w:val="left"/>
    </w:pPr>
    <w:rPr>
      <w:rFonts w:ascii="Times New Roman" w:hAnsi="Times New Roman" w:eastAsia="宋体"/>
      <w:sz w:val="24"/>
      <w:szCs w:val="20"/>
    </w:rPr>
  </w:style>
  <w:style w:type="paragraph" w:styleId="14">
    <w:name w:val="toc 3"/>
    <w:basedOn w:val="1"/>
    <w:next w:val="1"/>
    <w:qFormat/>
    <w:uiPriority w:val="39"/>
    <w:pPr>
      <w:autoSpaceDE/>
      <w:autoSpaceDN/>
      <w:spacing w:line="520" w:lineRule="exact"/>
      <w:ind w:left="400" w:leftChars="400" w:firstLine="0" w:firstLineChars="0"/>
    </w:pPr>
    <w:rPr>
      <w:rFonts w:eastAsia="宋体"/>
      <w:sz w:val="24"/>
    </w:rPr>
  </w:style>
  <w:style w:type="paragraph" w:styleId="15">
    <w:name w:val="Plain Text"/>
    <w:basedOn w:val="1"/>
    <w:link w:val="78"/>
    <w:qFormat/>
    <w:uiPriority w:val="99"/>
    <w:rPr>
      <w:rFonts w:hAnsi="Courier New" w:eastAsia="宋体" w:cs="Courier New"/>
      <w:sz w:val="21"/>
      <w:szCs w:val="21"/>
    </w:rPr>
  </w:style>
  <w:style w:type="paragraph" w:styleId="16">
    <w:name w:val="Date"/>
    <w:basedOn w:val="1"/>
    <w:next w:val="1"/>
    <w:link w:val="119"/>
    <w:qFormat/>
    <w:uiPriority w:val="99"/>
    <w:pPr>
      <w:autoSpaceDE/>
      <w:autoSpaceDN/>
      <w:spacing w:line="520" w:lineRule="exact"/>
      <w:ind w:left="100" w:leftChars="2500" w:firstLine="480"/>
    </w:pPr>
    <w:rPr>
      <w:rFonts w:eastAsia="宋体"/>
      <w:sz w:val="24"/>
    </w:rPr>
  </w:style>
  <w:style w:type="paragraph" w:styleId="17">
    <w:name w:val="Body Text Indent 2"/>
    <w:basedOn w:val="1"/>
    <w:link w:val="98"/>
    <w:semiHidden/>
    <w:qFormat/>
    <w:uiPriority w:val="99"/>
    <w:pPr>
      <w:spacing w:after="120" w:line="480" w:lineRule="auto"/>
      <w:ind w:left="420" w:leftChars="200"/>
    </w:pPr>
  </w:style>
  <w:style w:type="paragraph" w:styleId="18">
    <w:name w:val="Balloon Text"/>
    <w:basedOn w:val="1"/>
    <w:link w:val="122"/>
    <w:semiHidden/>
    <w:qFormat/>
    <w:uiPriority w:val="99"/>
    <w:pPr>
      <w:autoSpaceDE/>
      <w:autoSpaceDN/>
      <w:spacing w:line="520" w:lineRule="exact"/>
      <w:ind w:firstLine="480"/>
    </w:pPr>
    <w:rPr>
      <w:rFonts w:eastAsia="宋体"/>
      <w:sz w:val="18"/>
      <w:szCs w:val="18"/>
    </w:rPr>
  </w:style>
  <w:style w:type="paragraph" w:styleId="19">
    <w:name w:val="footer"/>
    <w:basedOn w:val="1"/>
    <w:link w:val="74"/>
    <w:qFormat/>
    <w:uiPriority w:val="99"/>
    <w:pPr>
      <w:tabs>
        <w:tab w:val="center" w:pos="4153"/>
        <w:tab w:val="right" w:pos="8306"/>
      </w:tabs>
      <w:snapToGrid w:val="0"/>
      <w:jc w:val="left"/>
    </w:pPr>
    <w:rPr>
      <w:sz w:val="18"/>
      <w:szCs w:val="18"/>
    </w:rPr>
  </w:style>
  <w:style w:type="paragraph" w:styleId="20">
    <w:name w:val="header"/>
    <w:basedOn w:val="1"/>
    <w:link w:val="73"/>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tabs>
        <w:tab w:val="right" w:leader="dot" w:pos="9344"/>
      </w:tabs>
      <w:spacing w:beforeLines="50" w:afterLines="50"/>
      <w:ind w:firstLine="0" w:firstLineChars="0"/>
      <w:jc w:val="right"/>
    </w:pPr>
    <w:rPr>
      <w:rFonts w:ascii="黑体" w:hAnsi="黑体" w:eastAsia="黑体"/>
    </w:rPr>
  </w:style>
  <w:style w:type="paragraph" w:styleId="22">
    <w:name w:val="footnote text"/>
    <w:basedOn w:val="1"/>
    <w:link w:val="109"/>
    <w:qFormat/>
    <w:uiPriority w:val="99"/>
    <w:pPr>
      <w:autoSpaceDE/>
      <w:autoSpaceDN/>
      <w:snapToGrid w:val="0"/>
      <w:ind w:firstLine="0" w:firstLineChars="0"/>
      <w:jc w:val="left"/>
    </w:pPr>
    <w:rPr>
      <w:rFonts w:ascii="Times New Roman" w:hAnsi="Times New Roman" w:eastAsia="宋体"/>
      <w:sz w:val="18"/>
      <w:szCs w:val="20"/>
    </w:rPr>
  </w:style>
  <w:style w:type="paragraph" w:styleId="23">
    <w:name w:val="Body Text Indent 3"/>
    <w:basedOn w:val="1"/>
    <w:link w:val="91"/>
    <w:qFormat/>
    <w:uiPriority w:val="99"/>
    <w:pPr>
      <w:spacing w:after="120"/>
      <w:ind w:left="420" w:leftChars="200"/>
    </w:pPr>
    <w:rPr>
      <w:sz w:val="16"/>
      <w:szCs w:val="16"/>
    </w:rPr>
  </w:style>
  <w:style w:type="paragraph" w:styleId="24">
    <w:name w:val="toc 2"/>
    <w:basedOn w:val="1"/>
    <w:next w:val="1"/>
    <w:qFormat/>
    <w:uiPriority w:val="39"/>
    <w:pPr>
      <w:tabs>
        <w:tab w:val="right" w:leader="dot" w:pos="9060"/>
      </w:tabs>
      <w:spacing w:line="520" w:lineRule="exact"/>
      <w:ind w:firstLine="241" w:firstLineChars="100"/>
    </w:pPr>
    <w:rPr>
      <w:rFonts w:ascii="黑体" w:hAnsi="黑体" w:eastAsia="黑体"/>
      <w:b/>
      <w:sz w:val="24"/>
    </w:rPr>
  </w:style>
  <w:style w:type="paragraph" w:styleId="25">
    <w:name w:val="HTML Preformatted"/>
    <w:basedOn w:val="1"/>
    <w:link w:val="139"/>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0" w:firstLineChars="0"/>
      <w:jc w:val="left"/>
    </w:pPr>
    <w:rPr>
      <w:rFonts w:hAnsi="Times New Roman" w:eastAsia="宋体" w:cs="宋体"/>
      <w:kern w:val="0"/>
      <w:sz w:val="24"/>
      <w:szCs w:val="20"/>
    </w:rPr>
  </w:style>
  <w:style w:type="paragraph" w:styleId="26">
    <w:name w:val="Normal (Web)"/>
    <w:basedOn w:val="1"/>
    <w:qFormat/>
    <w:uiPriority w:val="99"/>
    <w:pPr>
      <w:widowControl/>
      <w:autoSpaceDE/>
      <w:autoSpaceDN/>
      <w:spacing w:before="100" w:beforeAutospacing="1" w:after="100" w:afterAutospacing="1"/>
      <w:ind w:firstLine="0" w:firstLineChars="0"/>
      <w:jc w:val="left"/>
    </w:pPr>
    <w:rPr>
      <w:rFonts w:eastAsia="宋体" w:cs="宋体"/>
      <w:kern w:val="0"/>
      <w:sz w:val="24"/>
    </w:rPr>
  </w:style>
  <w:style w:type="paragraph" w:styleId="27">
    <w:name w:val="Title"/>
    <w:basedOn w:val="1"/>
    <w:next w:val="1"/>
    <w:link w:val="150"/>
    <w:qFormat/>
    <w:uiPriority w:val="99"/>
    <w:pPr>
      <w:autoSpaceDE/>
      <w:autoSpaceDN/>
      <w:spacing w:before="240" w:after="60"/>
      <w:ind w:firstLine="0" w:firstLineChars="0"/>
      <w:jc w:val="center"/>
      <w:outlineLvl w:val="0"/>
    </w:pPr>
    <w:rPr>
      <w:rFonts w:ascii="Cambria" w:hAnsi="Cambria" w:eastAsia="宋体"/>
      <w:b/>
      <w:bCs/>
      <w:sz w:val="32"/>
      <w:szCs w:val="32"/>
    </w:rPr>
  </w:style>
  <w:style w:type="paragraph" w:styleId="28">
    <w:name w:val="annotation subject"/>
    <w:basedOn w:val="12"/>
    <w:next w:val="12"/>
    <w:link w:val="127"/>
    <w:qFormat/>
    <w:uiPriority w:val="99"/>
    <w:rPr>
      <w:b/>
      <w:bCs/>
    </w:rPr>
  </w:style>
  <w:style w:type="paragraph" w:styleId="29">
    <w:name w:val="Body Text First Indent 2"/>
    <w:basedOn w:val="13"/>
    <w:link w:val="93"/>
    <w:semiHidden/>
    <w:qFormat/>
    <w:uiPriority w:val="99"/>
    <w:pPr>
      <w:widowControl w:val="0"/>
      <w:ind w:firstLine="420" w:firstLineChars="200"/>
      <w:jc w:val="both"/>
    </w:pPr>
    <w:rPr>
      <w:rFonts w:ascii="Calibri" w:hAnsi="Calibri"/>
      <w:szCs w:val="22"/>
    </w:rPr>
  </w:style>
  <w:style w:type="table" w:styleId="31">
    <w:name w:val="Table Grid"/>
    <w:basedOn w:val="3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2">
    <w:name w:val="Table Professional"/>
    <w:basedOn w:val="30"/>
    <w:qFormat/>
    <w:uiPriority w:val="99"/>
    <w:pPr>
      <w:widowControl w:val="0"/>
      <w:spacing w:line="520" w:lineRule="exact"/>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b/>
        <w:bCs/>
        <w:color w:val="auto"/>
      </w:rPr>
      <w:tblPr/>
      <w:tcPr>
        <w:tcBorders>
          <w:tl2br w:val="nil"/>
          <w:tr2bl w:val="nil"/>
        </w:tcBorders>
        <w:shd w:val="solid" w:color="000000" w:fill="FFFFFF"/>
      </w:tcPr>
    </w:tblStylePr>
  </w:style>
  <w:style w:type="character" w:styleId="34">
    <w:name w:val="Strong"/>
    <w:qFormat/>
    <w:uiPriority w:val="99"/>
    <w:rPr>
      <w:rFonts w:cs="Times New Roman"/>
      <w:b/>
    </w:rPr>
  </w:style>
  <w:style w:type="character" w:styleId="35">
    <w:name w:val="page number"/>
    <w:qFormat/>
    <w:uiPriority w:val="99"/>
    <w:rPr>
      <w:rFonts w:cs="Times New Roman"/>
    </w:rPr>
  </w:style>
  <w:style w:type="character" w:styleId="36">
    <w:name w:val="FollowedHyperlink"/>
    <w:qFormat/>
    <w:uiPriority w:val="99"/>
    <w:rPr>
      <w:rFonts w:cs="Times New Roman"/>
      <w:color w:val="800080"/>
      <w:u w:val="single"/>
    </w:rPr>
  </w:style>
  <w:style w:type="character" w:styleId="37">
    <w:name w:val="Emphasis"/>
    <w:qFormat/>
    <w:uiPriority w:val="99"/>
    <w:rPr>
      <w:rFonts w:cs="Times New Roman"/>
      <w:i/>
      <w:iCs/>
    </w:rPr>
  </w:style>
  <w:style w:type="character" w:styleId="38">
    <w:name w:val="Hyperlink"/>
    <w:qFormat/>
    <w:uiPriority w:val="99"/>
    <w:rPr>
      <w:rFonts w:cs="Times New Roman"/>
      <w:color w:val="0563C1"/>
      <w:u w:val="single"/>
    </w:rPr>
  </w:style>
  <w:style w:type="character" w:styleId="39">
    <w:name w:val="annotation reference"/>
    <w:semiHidden/>
    <w:qFormat/>
    <w:uiPriority w:val="99"/>
    <w:rPr>
      <w:rFonts w:cs="Times New Roman"/>
      <w:sz w:val="21"/>
    </w:rPr>
  </w:style>
  <w:style w:type="character" w:styleId="40">
    <w:name w:val="footnote reference"/>
    <w:qFormat/>
    <w:uiPriority w:val="99"/>
    <w:rPr>
      <w:rFonts w:cs="Times New Roman"/>
      <w:vertAlign w:val="superscript"/>
    </w:rPr>
  </w:style>
  <w:style w:type="character" w:customStyle="1" w:styleId="41">
    <w:name w:val="标题 1 Char"/>
    <w:link w:val="2"/>
    <w:qFormat/>
    <w:locked/>
    <w:uiPriority w:val="99"/>
    <w:rPr>
      <w:rFonts w:ascii="宋体" w:eastAsia="宋体" w:cs="Times New Roman"/>
      <w:b/>
      <w:bCs/>
      <w:kern w:val="44"/>
      <w:sz w:val="44"/>
      <w:szCs w:val="44"/>
    </w:rPr>
  </w:style>
  <w:style w:type="character" w:customStyle="1" w:styleId="42">
    <w:name w:val="标题 2 Char"/>
    <w:link w:val="3"/>
    <w:semiHidden/>
    <w:qFormat/>
    <w:locked/>
    <w:uiPriority w:val="99"/>
    <w:rPr>
      <w:rFonts w:ascii="Calibri Light" w:hAnsi="Calibri Light" w:eastAsia="宋体" w:cs="Times New Roman"/>
      <w:b/>
      <w:bCs/>
      <w:kern w:val="2"/>
      <w:sz w:val="32"/>
      <w:szCs w:val="32"/>
    </w:rPr>
  </w:style>
  <w:style w:type="character" w:customStyle="1" w:styleId="43">
    <w:name w:val="标题 3 Char"/>
    <w:link w:val="4"/>
    <w:semiHidden/>
    <w:qFormat/>
    <w:locked/>
    <w:uiPriority w:val="99"/>
    <w:rPr>
      <w:rFonts w:ascii="宋体" w:hAnsi="宋体" w:eastAsia="仿宋" w:cs="Times New Roman"/>
      <w:b/>
      <w:bCs/>
      <w:kern w:val="2"/>
      <w:sz w:val="32"/>
      <w:szCs w:val="32"/>
    </w:rPr>
  </w:style>
  <w:style w:type="character" w:customStyle="1" w:styleId="44">
    <w:name w:val="标题 4 Char"/>
    <w:link w:val="5"/>
    <w:qFormat/>
    <w:locked/>
    <w:uiPriority w:val="99"/>
    <w:rPr>
      <w:rFonts w:ascii="Calibri Light" w:hAnsi="Calibri Light" w:eastAsia="宋体" w:cs="Times New Roman"/>
      <w:b/>
      <w:bCs/>
      <w:kern w:val="2"/>
      <w:sz w:val="28"/>
      <w:szCs w:val="28"/>
    </w:rPr>
  </w:style>
  <w:style w:type="character" w:customStyle="1" w:styleId="45">
    <w:name w:val="标题 5 Char"/>
    <w:link w:val="6"/>
    <w:semiHidden/>
    <w:qFormat/>
    <w:locked/>
    <w:uiPriority w:val="99"/>
    <w:rPr>
      <w:rFonts w:ascii="宋体" w:eastAsia="宋体" w:cs="Times New Roman"/>
      <w:b/>
      <w:kern w:val="2"/>
      <w:sz w:val="28"/>
    </w:rPr>
  </w:style>
  <w:style w:type="character" w:customStyle="1" w:styleId="46">
    <w:name w:val="标题 6 Char"/>
    <w:link w:val="7"/>
    <w:semiHidden/>
    <w:qFormat/>
    <w:locked/>
    <w:uiPriority w:val="99"/>
    <w:rPr>
      <w:rFonts w:ascii="Cambria" w:hAnsi="Cambria" w:cs="Times New Roman"/>
      <w:b/>
      <w:kern w:val="2"/>
      <w:sz w:val="24"/>
    </w:rPr>
  </w:style>
  <w:style w:type="character" w:customStyle="1" w:styleId="47">
    <w:name w:val="标题 7 Char"/>
    <w:link w:val="8"/>
    <w:semiHidden/>
    <w:qFormat/>
    <w:locked/>
    <w:uiPriority w:val="99"/>
    <w:rPr>
      <w:rFonts w:ascii="宋体" w:eastAsia="宋体" w:cs="Times New Roman"/>
      <w:b/>
      <w:kern w:val="2"/>
      <w:sz w:val="24"/>
    </w:rPr>
  </w:style>
  <w:style w:type="character" w:customStyle="1" w:styleId="48">
    <w:name w:val="标题 8 Char"/>
    <w:link w:val="9"/>
    <w:semiHidden/>
    <w:qFormat/>
    <w:locked/>
    <w:uiPriority w:val="99"/>
    <w:rPr>
      <w:rFonts w:ascii="Cambria" w:hAnsi="Cambria" w:cs="Times New Roman"/>
      <w:kern w:val="2"/>
      <w:sz w:val="24"/>
    </w:rPr>
  </w:style>
  <w:style w:type="character" w:customStyle="1" w:styleId="49">
    <w:name w:val="标题 9 Char"/>
    <w:link w:val="10"/>
    <w:semiHidden/>
    <w:qFormat/>
    <w:locked/>
    <w:uiPriority w:val="99"/>
    <w:rPr>
      <w:rFonts w:ascii="Cambria" w:hAnsi="Cambria" w:cs="Times New Roman"/>
      <w:kern w:val="2"/>
      <w:sz w:val="21"/>
    </w:rPr>
  </w:style>
  <w:style w:type="paragraph" w:customStyle="1" w:styleId="50">
    <w:name w:val="表内居中"/>
    <w:basedOn w:val="1"/>
    <w:link w:val="51"/>
    <w:qFormat/>
    <w:uiPriority w:val="99"/>
    <w:pPr>
      <w:widowControl/>
      <w:spacing w:line="360" w:lineRule="exact"/>
      <w:ind w:firstLine="0" w:firstLineChars="0"/>
      <w:jc w:val="center"/>
    </w:pPr>
    <w:rPr>
      <w:rFonts w:hAnsi="Times New Roman" w:eastAsia="宋体"/>
      <w:sz w:val="21"/>
      <w:szCs w:val="20"/>
    </w:rPr>
  </w:style>
  <w:style w:type="character" w:customStyle="1" w:styleId="51">
    <w:name w:val="表内居中 Char"/>
    <w:link w:val="50"/>
    <w:qFormat/>
    <w:locked/>
    <w:uiPriority w:val="99"/>
    <w:rPr>
      <w:rFonts w:ascii="宋体" w:eastAsia="宋体"/>
      <w:kern w:val="2"/>
      <w:sz w:val="21"/>
    </w:rPr>
  </w:style>
  <w:style w:type="paragraph" w:customStyle="1" w:styleId="52">
    <w:name w:val="正文加粗"/>
    <w:basedOn w:val="1"/>
    <w:qFormat/>
    <w:uiPriority w:val="99"/>
    <w:rPr>
      <w:b/>
    </w:rPr>
  </w:style>
  <w:style w:type="paragraph" w:customStyle="1" w:styleId="53">
    <w:name w:val="表、图标题"/>
    <w:basedOn w:val="1"/>
    <w:link w:val="54"/>
    <w:qFormat/>
    <w:uiPriority w:val="99"/>
    <w:pPr>
      <w:ind w:firstLine="0" w:firstLineChars="0"/>
      <w:jc w:val="center"/>
    </w:pPr>
    <w:rPr>
      <w:rFonts w:ascii="黑体" w:hAnsi="黑体" w:eastAsia="黑体"/>
      <w:color w:val="000000"/>
      <w:sz w:val="24"/>
      <w:szCs w:val="20"/>
    </w:rPr>
  </w:style>
  <w:style w:type="character" w:customStyle="1" w:styleId="54">
    <w:name w:val="表、图标题 Char"/>
    <w:link w:val="53"/>
    <w:qFormat/>
    <w:locked/>
    <w:uiPriority w:val="99"/>
    <w:rPr>
      <w:rFonts w:ascii="黑体" w:hAnsi="黑体" w:eastAsia="黑体"/>
      <w:color w:val="000000"/>
      <w:kern w:val="2"/>
      <w:sz w:val="24"/>
    </w:rPr>
  </w:style>
  <w:style w:type="paragraph" w:customStyle="1" w:styleId="55">
    <w:name w:val="表内居左"/>
    <w:basedOn w:val="50"/>
    <w:qFormat/>
    <w:uiPriority w:val="99"/>
    <w:pPr>
      <w:jc w:val="left"/>
    </w:pPr>
  </w:style>
  <w:style w:type="paragraph" w:customStyle="1" w:styleId="56">
    <w:name w:val="图片格式"/>
    <w:basedOn w:val="1"/>
    <w:qFormat/>
    <w:uiPriority w:val="99"/>
    <w:pPr>
      <w:ind w:firstLine="0" w:firstLineChars="0"/>
      <w:jc w:val="center"/>
    </w:pPr>
  </w:style>
  <w:style w:type="paragraph" w:customStyle="1" w:styleId="57">
    <w:name w:val="标题1"/>
    <w:basedOn w:val="1"/>
    <w:qFormat/>
    <w:uiPriority w:val="99"/>
    <w:pPr>
      <w:keepNext/>
      <w:keepLines/>
      <w:tabs>
        <w:tab w:val="left" w:pos="432"/>
      </w:tabs>
      <w:spacing w:beforeLines="50" w:afterLines="50"/>
      <w:ind w:firstLine="0" w:firstLineChars="0"/>
      <w:jc w:val="left"/>
      <w:outlineLvl w:val="0"/>
    </w:pPr>
    <w:rPr>
      <w:rFonts w:ascii="华文新魏" w:eastAsia="黑体"/>
      <w:bCs/>
      <w:kern w:val="44"/>
      <w:sz w:val="44"/>
      <w:szCs w:val="48"/>
      <w:shd w:val="clear" w:color="auto" w:fill="FFFFFF"/>
    </w:rPr>
  </w:style>
  <w:style w:type="paragraph" w:customStyle="1" w:styleId="58">
    <w:name w:val="标题1.1"/>
    <w:basedOn w:val="1"/>
    <w:qFormat/>
    <w:uiPriority w:val="99"/>
    <w:pPr>
      <w:keepNext/>
      <w:keepLines/>
      <w:spacing w:line="960" w:lineRule="exact"/>
      <w:ind w:firstLine="0" w:firstLineChars="0"/>
      <w:jc w:val="left"/>
      <w:outlineLvl w:val="1"/>
    </w:pPr>
    <w:rPr>
      <w:rFonts w:ascii="黑体" w:hAnsi="黑体" w:eastAsia="黑体"/>
      <w:bCs/>
      <w:sz w:val="32"/>
      <w:szCs w:val="30"/>
    </w:rPr>
  </w:style>
  <w:style w:type="paragraph" w:customStyle="1" w:styleId="59">
    <w:name w:val="标题1.1.1"/>
    <w:basedOn w:val="1"/>
    <w:qFormat/>
    <w:uiPriority w:val="99"/>
    <w:pPr>
      <w:spacing w:line="720" w:lineRule="exact"/>
      <w:ind w:firstLine="0" w:firstLineChars="0"/>
      <w:outlineLvl w:val="2"/>
    </w:pPr>
    <w:rPr>
      <w:rFonts w:ascii="黑体" w:hAnsi="黑体" w:eastAsia="黑体"/>
      <w:szCs w:val="28"/>
    </w:rPr>
  </w:style>
  <w:style w:type="paragraph" w:customStyle="1" w:styleId="60">
    <w:name w:val="标题1.1.1.1"/>
    <w:basedOn w:val="1"/>
    <w:qFormat/>
    <w:uiPriority w:val="99"/>
    <w:pPr>
      <w:keepNext/>
      <w:keepLines/>
      <w:ind w:firstLine="0" w:firstLineChars="0"/>
      <w:jc w:val="left"/>
      <w:outlineLvl w:val="3"/>
    </w:pPr>
    <w:rPr>
      <w:b/>
      <w:bCs/>
      <w:szCs w:val="28"/>
    </w:rPr>
  </w:style>
  <w:style w:type="paragraph" w:customStyle="1" w:styleId="61">
    <w:name w:val="正文样式"/>
    <w:basedOn w:val="1"/>
    <w:qFormat/>
    <w:uiPriority w:val="99"/>
    <w:pPr>
      <w:autoSpaceDE/>
      <w:autoSpaceDN/>
      <w:spacing w:beforeLines="50"/>
    </w:pPr>
    <w:rPr>
      <w:rFonts w:cs="宋体"/>
      <w:szCs w:val="20"/>
    </w:rPr>
  </w:style>
  <w:style w:type="paragraph" w:styleId="62">
    <w:name w:val="Quote"/>
    <w:basedOn w:val="1"/>
    <w:next w:val="1"/>
    <w:link w:val="63"/>
    <w:qFormat/>
    <w:uiPriority w:val="99"/>
    <w:rPr>
      <w:rFonts w:eastAsia="宋体"/>
      <w:b/>
      <w:iCs/>
      <w:color w:val="0000FF"/>
      <w:sz w:val="24"/>
    </w:rPr>
  </w:style>
  <w:style w:type="character" w:customStyle="1" w:styleId="63">
    <w:name w:val="引用 Char"/>
    <w:link w:val="62"/>
    <w:qFormat/>
    <w:locked/>
    <w:uiPriority w:val="99"/>
    <w:rPr>
      <w:rFonts w:ascii="宋体" w:eastAsia="宋体" w:cs="Times New Roman"/>
      <w:b/>
      <w:color w:val="0000FF"/>
      <w:kern w:val="2"/>
      <w:sz w:val="24"/>
    </w:rPr>
  </w:style>
  <w:style w:type="paragraph" w:styleId="64">
    <w:name w:val="Intense Quote"/>
    <w:basedOn w:val="1"/>
    <w:next w:val="1"/>
    <w:link w:val="65"/>
    <w:qFormat/>
    <w:uiPriority w:val="99"/>
    <w:pPr>
      <w:pBdr>
        <w:bottom w:val="single" w:color="4F81BD" w:sz="4" w:space="4"/>
      </w:pBdr>
      <w:spacing w:before="200" w:after="280"/>
      <w:ind w:left="936" w:right="936"/>
    </w:pPr>
    <w:rPr>
      <w:rFonts w:eastAsia="宋体"/>
      <w:b/>
      <w:bCs/>
      <w:i/>
      <w:iCs/>
      <w:color w:val="4F81BD"/>
      <w:sz w:val="24"/>
    </w:rPr>
  </w:style>
  <w:style w:type="character" w:customStyle="1" w:styleId="65">
    <w:name w:val="明显引用 Char"/>
    <w:link w:val="64"/>
    <w:qFormat/>
    <w:locked/>
    <w:uiPriority w:val="99"/>
    <w:rPr>
      <w:rFonts w:ascii="宋体" w:eastAsia="宋体" w:cs="Times New Roman"/>
      <w:b/>
      <w:i/>
      <w:color w:val="4F81BD"/>
      <w:kern w:val="2"/>
      <w:sz w:val="24"/>
    </w:rPr>
  </w:style>
  <w:style w:type="character" w:customStyle="1" w:styleId="66">
    <w:name w:val="Intense Emphasis"/>
    <w:qFormat/>
    <w:uiPriority w:val="99"/>
    <w:rPr>
      <w:rFonts w:cs="Times New Roman"/>
      <w:b/>
      <w:color w:val="FF0000"/>
    </w:rPr>
  </w:style>
  <w:style w:type="character" w:customStyle="1" w:styleId="67">
    <w:name w:val="Subtle Reference"/>
    <w:qFormat/>
    <w:uiPriority w:val="99"/>
    <w:rPr>
      <w:rFonts w:cs="Times New Roman"/>
      <w:b/>
    </w:rPr>
  </w:style>
  <w:style w:type="paragraph" w:customStyle="1" w:styleId="68">
    <w:name w:val="TOC Heading"/>
    <w:basedOn w:val="2"/>
    <w:next w:val="1"/>
    <w:qFormat/>
    <w:uiPriority w:val="99"/>
    <w:pPr>
      <w:widowControl/>
      <w:spacing w:before="480" w:after="0" w:line="276" w:lineRule="auto"/>
      <w:ind w:firstLine="0" w:firstLineChars="0"/>
      <w:jc w:val="left"/>
      <w:outlineLvl w:val="9"/>
    </w:pPr>
    <w:rPr>
      <w:rFonts w:ascii="Cambria" w:hAnsi="Cambria"/>
      <w:color w:val="365F91"/>
      <w:kern w:val="0"/>
      <w:sz w:val="28"/>
      <w:szCs w:val="28"/>
    </w:rPr>
  </w:style>
  <w:style w:type="paragraph" w:styleId="69">
    <w:name w:val="List Paragraph"/>
    <w:basedOn w:val="1"/>
    <w:qFormat/>
    <w:uiPriority w:val="99"/>
    <w:pPr>
      <w:ind w:firstLine="420"/>
    </w:pPr>
  </w:style>
  <w:style w:type="paragraph" w:customStyle="1" w:styleId="70">
    <w:name w:val="Char"/>
    <w:basedOn w:val="1"/>
    <w:qFormat/>
    <w:uiPriority w:val="99"/>
    <w:pPr>
      <w:autoSpaceDE/>
      <w:autoSpaceDN/>
      <w:ind w:firstLine="0" w:firstLineChars="0"/>
    </w:pPr>
    <w:rPr>
      <w:rFonts w:ascii="Times New Roman" w:hAnsi="Times New Roman" w:eastAsia="宋体"/>
      <w:sz w:val="21"/>
    </w:rPr>
  </w:style>
  <w:style w:type="paragraph" w:customStyle="1" w:styleId="71">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2">
    <w:name w:val="Char Char9 Char Char Char Char Char Char Char Char"/>
    <w:basedOn w:val="1"/>
    <w:qFormat/>
    <w:uiPriority w:val="99"/>
    <w:pPr>
      <w:widowControl/>
      <w:autoSpaceDE/>
      <w:autoSpaceDN/>
      <w:spacing w:after="160" w:line="240" w:lineRule="exact"/>
      <w:ind w:firstLine="0" w:firstLineChars="0"/>
      <w:jc w:val="left"/>
    </w:pPr>
    <w:rPr>
      <w:rFonts w:ascii="Verdana" w:hAnsi="Verdana" w:eastAsia="仿宋_GB2312"/>
      <w:kern w:val="0"/>
      <w:szCs w:val="20"/>
      <w:lang w:eastAsia="en-US"/>
    </w:rPr>
  </w:style>
  <w:style w:type="character" w:customStyle="1" w:styleId="73">
    <w:name w:val="页眉 Char"/>
    <w:link w:val="20"/>
    <w:qFormat/>
    <w:locked/>
    <w:uiPriority w:val="99"/>
    <w:rPr>
      <w:rFonts w:ascii="宋体" w:hAnsi="宋体" w:eastAsia="仿宋" w:cs="Times New Roman"/>
      <w:kern w:val="2"/>
      <w:sz w:val="18"/>
      <w:szCs w:val="18"/>
    </w:rPr>
  </w:style>
  <w:style w:type="character" w:customStyle="1" w:styleId="74">
    <w:name w:val="页脚 Char"/>
    <w:link w:val="19"/>
    <w:qFormat/>
    <w:locked/>
    <w:uiPriority w:val="99"/>
    <w:rPr>
      <w:rFonts w:ascii="宋体" w:hAnsi="宋体" w:eastAsia="仿宋" w:cs="Times New Roman"/>
      <w:kern w:val="2"/>
      <w:sz w:val="18"/>
      <w:szCs w:val="18"/>
    </w:rPr>
  </w:style>
  <w:style w:type="character" w:customStyle="1" w:styleId="75">
    <w:name w:val="文档结构图 Char"/>
    <w:link w:val="11"/>
    <w:semiHidden/>
    <w:qFormat/>
    <w:locked/>
    <w:uiPriority w:val="99"/>
    <w:rPr>
      <w:rFonts w:ascii="宋体" w:eastAsia="宋体" w:cs="Times New Roman"/>
      <w:kern w:val="2"/>
      <w:sz w:val="18"/>
      <w:szCs w:val="18"/>
    </w:rPr>
  </w:style>
  <w:style w:type="character" w:customStyle="1" w:styleId="76">
    <w:name w:val="sjk正文部分 Char"/>
    <w:link w:val="77"/>
    <w:qFormat/>
    <w:locked/>
    <w:uiPriority w:val="99"/>
    <w:rPr>
      <w:rFonts w:ascii="宋体" w:eastAsia="宋体" w:cs="Times New Roman"/>
      <w:sz w:val="24"/>
      <w:szCs w:val="24"/>
    </w:rPr>
  </w:style>
  <w:style w:type="paragraph" w:customStyle="1" w:styleId="77">
    <w:name w:val="sjk正文部分"/>
    <w:basedOn w:val="11"/>
    <w:link w:val="76"/>
    <w:qFormat/>
    <w:uiPriority w:val="99"/>
    <w:pPr>
      <w:widowControl/>
      <w:autoSpaceDE/>
      <w:autoSpaceDN/>
      <w:spacing w:line="520" w:lineRule="exact"/>
      <w:ind w:firstLine="480"/>
      <w:jc w:val="left"/>
    </w:pPr>
    <w:rPr>
      <w:kern w:val="0"/>
      <w:sz w:val="24"/>
      <w:szCs w:val="24"/>
    </w:rPr>
  </w:style>
  <w:style w:type="character" w:customStyle="1" w:styleId="78">
    <w:name w:val="纯文本 Char"/>
    <w:link w:val="15"/>
    <w:qFormat/>
    <w:locked/>
    <w:uiPriority w:val="99"/>
    <w:rPr>
      <w:rFonts w:ascii="宋体" w:hAnsi="Courier New" w:cs="Courier New"/>
      <w:kern w:val="2"/>
      <w:sz w:val="21"/>
      <w:szCs w:val="21"/>
    </w:rPr>
  </w:style>
  <w:style w:type="character" w:customStyle="1" w:styleId="79">
    <w:name w:val="sjk三级标题 Char"/>
    <w:link w:val="80"/>
    <w:qFormat/>
    <w:locked/>
    <w:uiPriority w:val="99"/>
    <w:rPr>
      <w:rFonts w:ascii="黑体" w:hAnsi="黑体" w:eastAsia="黑体"/>
      <w:kern w:val="2"/>
      <w:sz w:val="28"/>
    </w:rPr>
  </w:style>
  <w:style w:type="paragraph" w:customStyle="1" w:styleId="80">
    <w:name w:val="sjk三级标题"/>
    <w:basedOn w:val="4"/>
    <w:link w:val="79"/>
    <w:qFormat/>
    <w:uiPriority w:val="99"/>
    <w:pPr>
      <w:widowControl/>
      <w:autoSpaceDE/>
      <w:autoSpaceDN/>
      <w:spacing w:afterLines="50" w:line="720" w:lineRule="exact"/>
      <w:ind w:firstLine="560" w:firstLineChars="0"/>
      <w:jc w:val="left"/>
    </w:pPr>
    <w:rPr>
      <w:rFonts w:ascii="黑体" w:hAnsi="黑体" w:eastAsia="黑体"/>
      <w:b w:val="0"/>
      <w:bCs w:val="0"/>
      <w:sz w:val="28"/>
      <w:szCs w:val="20"/>
    </w:rPr>
  </w:style>
  <w:style w:type="character" w:customStyle="1" w:styleId="81">
    <w:name w:val="正文文本缩进 Char"/>
    <w:link w:val="13"/>
    <w:qFormat/>
    <w:locked/>
    <w:uiPriority w:val="99"/>
    <w:rPr>
      <w:kern w:val="2"/>
      <w:sz w:val="24"/>
    </w:rPr>
  </w:style>
  <w:style w:type="character" w:customStyle="1" w:styleId="82">
    <w:name w:val="Body Text Indent Char1"/>
    <w:semiHidden/>
    <w:qFormat/>
    <w:locked/>
    <w:uiPriority w:val="99"/>
    <w:rPr>
      <w:rFonts w:ascii="宋体" w:hAnsi="宋体" w:eastAsia="仿宋" w:cs="Times New Roman"/>
      <w:sz w:val="24"/>
      <w:szCs w:val="24"/>
    </w:rPr>
  </w:style>
  <w:style w:type="character" w:customStyle="1" w:styleId="83">
    <w:name w:val="正文文本缩进 Char1"/>
    <w:qFormat/>
    <w:uiPriority w:val="99"/>
    <w:rPr>
      <w:rFonts w:ascii="宋体" w:hAnsi="宋体" w:eastAsia="仿宋" w:cs="Times New Roman"/>
      <w:kern w:val="2"/>
      <w:sz w:val="24"/>
      <w:szCs w:val="24"/>
    </w:rPr>
  </w:style>
  <w:style w:type="paragraph" w:customStyle="1" w:styleId="84">
    <w:name w:val="样式 注释部分 QJJ"/>
    <w:basedOn w:val="1"/>
    <w:link w:val="85"/>
    <w:qFormat/>
    <w:uiPriority w:val="99"/>
    <w:pPr>
      <w:widowControl/>
      <w:autoSpaceDE/>
      <w:autoSpaceDN/>
      <w:spacing w:line="240" w:lineRule="exact"/>
      <w:ind w:firstLine="360"/>
      <w:jc w:val="left"/>
    </w:pPr>
    <w:rPr>
      <w:rFonts w:hAnsi="Arial" w:eastAsia="宋体"/>
      <w:kern w:val="0"/>
      <w:sz w:val="18"/>
      <w:szCs w:val="20"/>
    </w:rPr>
  </w:style>
  <w:style w:type="character" w:customStyle="1" w:styleId="85">
    <w:name w:val="样式 注释部分 QJJ Char"/>
    <w:link w:val="84"/>
    <w:qFormat/>
    <w:locked/>
    <w:uiPriority w:val="99"/>
    <w:rPr>
      <w:rFonts w:ascii="宋体" w:hAnsi="Arial"/>
      <w:snapToGrid w:val="0"/>
      <w:sz w:val="18"/>
    </w:rPr>
  </w:style>
  <w:style w:type="character" w:customStyle="1" w:styleId="86">
    <w:name w:val="正文段落 Char1"/>
    <w:link w:val="87"/>
    <w:qFormat/>
    <w:locked/>
    <w:uiPriority w:val="99"/>
    <w:rPr>
      <w:kern w:val="2"/>
      <w:sz w:val="21"/>
    </w:rPr>
  </w:style>
  <w:style w:type="paragraph" w:customStyle="1" w:styleId="87">
    <w:name w:val="正文段落"/>
    <w:basedOn w:val="1"/>
    <w:link w:val="86"/>
    <w:qFormat/>
    <w:uiPriority w:val="99"/>
    <w:pPr>
      <w:widowControl/>
      <w:autoSpaceDE/>
      <w:autoSpaceDN/>
      <w:spacing w:beforeLines="50" w:line="360" w:lineRule="auto"/>
      <w:ind w:firstLine="480"/>
      <w:jc w:val="left"/>
    </w:pPr>
    <w:rPr>
      <w:rFonts w:ascii="Times New Roman" w:hAnsi="Times New Roman" w:eastAsia="宋体"/>
      <w:sz w:val="21"/>
      <w:szCs w:val="20"/>
    </w:rPr>
  </w:style>
  <w:style w:type="character" w:customStyle="1" w:styleId="88">
    <w:name w:val="sjk二级标题 Char"/>
    <w:link w:val="89"/>
    <w:qFormat/>
    <w:locked/>
    <w:uiPriority w:val="99"/>
    <w:rPr>
      <w:rFonts w:cs="宋体"/>
      <w:kern w:val="2"/>
      <w:sz w:val="21"/>
      <w:szCs w:val="21"/>
    </w:rPr>
  </w:style>
  <w:style w:type="paragraph" w:customStyle="1" w:styleId="89">
    <w:name w:val="sjk二级标题"/>
    <w:basedOn w:val="3"/>
    <w:link w:val="88"/>
    <w:qFormat/>
    <w:uiPriority w:val="99"/>
    <w:pPr>
      <w:widowControl/>
      <w:autoSpaceDE/>
      <w:autoSpaceDN/>
      <w:spacing w:before="0" w:after="0" w:line="960" w:lineRule="exact"/>
      <w:ind w:firstLine="0" w:firstLineChars="0"/>
      <w:jc w:val="left"/>
    </w:pPr>
    <w:rPr>
      <w:rFonts w:ascii="Times New Roman" w:hAnsi="Times New Roman" w:cs="宋体"/>
      <w:b w:val="0"/>
      <w:bCs w:val="0"/>
      <w:sz w:val="24"/>
      <w:szCs w:val="21"/>
    </w:rPr>
  </w:style>
  <w:style w:type="paragraph" w:customStyle="1" w:styleId="90">
    <w:name w:val="Char3"/>
    <w:basedOn w:val="1"/>
    <w:qFormat/>
    <w:uiPriority w:val="99"/>
    <w:pPr>
      <w:autoSpaceDE/>
      <w:autoSpaceDN/>
      <w:ind w:firstLine="0" w:firstLineChars="0"/>
    </w:pPr>
    <w:rPr>
      <w:rFonts w:ascii="Times New Roman" w:hAnsi="Times New Roman" w:eastAsia="宋体"/>
      <w:sz w:val="21"/>
    </w:rPr>
  </w:style>
  <w:style w:type="character" w:customStyle="1" w:styleId="91">
    <w:name w:val="正文文本缩进 3 Char"/>
    <w:link w:val="23"/>
    <w:semiHidden/>
    <w:qFormat/>
    <w:locked/>
    <w:uiPriority w:val="99"/>
    <w:rPr>
      <w:rFonts w:ascii="宋体" w:hAnsi="宋体" w:eastAsia="仿宋" w:cs="Times New Roman"/>
      <w:kern w:val="2"/>
      <w:sz w:val="16"/>
      <w:szCs w:val="16"/>
    </w:rPr>
  </w:style>
  <w:style w:type="paragraph" w:customStyle="1" w:styleId="92">
    <w:name w:val="章标题"/>
    <w:basedOn w:val="4"/>
    <w:qFormat/>
    <w:uiPriority w:val="99"/>
    <w:pPr>
      <w:keepNext w:val="0"/>
      <w:autoSpaceDE/>
      <w:autoSpaceDN/>
      <w:spacing w:before="180" w:after="120" w:line="240" w:lineRule="auto"/>
      <w:ind w:firstLine="0" w:firstLineChars="0"/>
      <w:jc w:val="center"/>
    </w:pPr>
    <w:rPr>
      <w:rFonts w:ascii="黑体" w:hAnsi="Arial" w:eastAsia="黑体"/>
      <w:b w:val="0"/>
      <w:bCs w:val="0"/>
      <w:color w:val="000000"/>
      <w:kern w:val="0"/>
      <w:sz w:val="36"/>
      <w:szCs w:val="20"/>
    </w:rPr>
  </w:style>
  <w:style w:type="character" w:customStyle="1" w:styleId="93">
    <w:name w:val="正文首行缩进 2 Char"/>
    <w:link w:val="29"/>
    <w:semiHidden/>
    <w:qFormat/>
    <w:locked/>
    <w:uiPriority w:val="99"/>
    <w:rPr>
      <w:rFonts w:ascii="Calibri" w:hAnsi="Calibri" w:cs="Times New Roman"/>
      <w:kern w:val="2"/>
      <w:sz w:val="22"/>
      <w:szCs w:val="22"/>
    </w:rPr>
  </w:style>
  <w:style w:type="paragraph" w:customStyle="1" w:styleId="94">
    <w:name w:val="正文一"/>
    <w:basedOn w:val="15"/>
    <w:qFormat/>
    <w:uiPriority w:val="99"/>
    <w:pPr>
      <w:autoSpaceDE/>
      <w:autoSpaceDN/>
      <w:ind w:firstLine="425" w:firstLineChars="0"/>
    </w:pPr>
    <w:rPr>
      <w:rFonts w:cs="Times New Roman"/>
      <w:sz w:val="24"/>
      <w:szCs w:val="20"/>
    </w:rPr>
  </w:style>
  <w:style w:type="paragraph" w:customStyle="1" w:styleId="95">
    <w:name w:val="样式 Century Gothic 四号 行距: 1.5 倍行距"/>
    <w:basedOn w:val="1"/>
    <w:qFormat/>
    <w:uiPriority w:val="99"/>
    <w:pPr>
      <w:autoSpaceDE/>
      <w:autoSpaceDN/>
      <w:spacing w:line="360" w:lineRule="auto"/>
    </w:pPr>
    <w:rPr>
      <w:rFonts w:ascii="Century Gothic" w:eastAsia="宋体" w:cs="宋体"/>
      <w:szCs w:val="20"/>
    </w:rPr>
  </w:style>
  <w:style w:type="paragraph" w:customStyle="1" w:styleId="96">
    <w:name w:val="样式 样式 首行缩进:  2 字符1 + 首行缩进:  2 字符"/>
    <w:basedOn w:val="1"/>
    <w:qFormat/>
    <w:uiPriority w:val="99"/>
    <w:pPr>
      <w:widowControl/>
      <w:autoSpaceDE/>
      <w:autoSpaceDN/>
      <w:spacing w:line="520" w:lineRule="exact"/>
      <w:ind w:firstLine="561" w:firstLineChars="0"/>
      <w:jc w:val="left"/>
    </w:pPr>
    <w:rPr>
      <w:rFonts w:eastAsia="宋体" w:cs="宋体"/>
      <w:bCs/>
      <w:kern w:val="0"/>
      <w:szCs w:val="20"/>
    </w:rPr>
  </w:style>
  <w:style w:type="paragraph" w:customStyle="1" w:styleId="97">
    <w:name w:val="Char2"/>
    <w:basedOn w:val="1"/>
    <w:qFormat/>
    <w:uiPriority w:val="99"/>
    <w:pPr>
      <w:autoSpaceDE/>
      <w:autoSpaceDN/>
      <w:ind w:firstLine="0" w:firstLineChars="0"/>
    </w:pPr>
    <w:rPr>
      <w:rFonts w:ascii="Times New Roman" w:hAnsi="Times New Roman" w:eastAsia="宋体"/>
      <w:sz w:val="21"/>
    </w:rPr>
  </w:style>
  <w:style w:type="character" w:customStyle="1" w:styleId="98">
    <w:name w:val="正文文本缩进 2 Char"/>
    <w:link w:val="17"/>
    <w:semiHidden/>
    <w:qFormat/>
    <w:locked/>
    <w:uiPriority w:val="99"/>
    <w:rPr>
      <w:rFonts w:ascii="宋体" w:hAnsi="宋体" w:eastAsia="仿宋" w:cs="Times New Roman"/>
      <w:kern w:val="2"/>
      <w:sz w:val="24"/>
      <w:szCs w:val="24"/>
    </w:rPr>
  </w:style>
  <w:style w:type="character" w:customStyle="1" w:styleId="99">
    <w:name w:val="apple-converted-space"/>
    <w:qFormat/>
    <w:uiPriority w:val="99"/>
    <w:rPr>
      <w:rFonts w:cs="Times New Roman"/>
    </w:rPr>
  </w:style>
  <w:style w:type="paragraph" w:customStyle="1" w:styleId="100">
    <w:name w:val="pa-1"/>
    <w:qFormat/>
    <w:uiPriority w:val="99"/>
    <w:pPr>
      <w:spacing w:before="100" w:beforeAutospacing="1" w:after="100" w:afterAutospacing="1"/>
    </w:pPr>
    <w:rPr>
      <w:rFonts w:ascii="宋体" w:hAnsi="Times New Roman" w:eastAsia="宋体" w:cs="宋体"/>
      <w:sz w:val="24"/>
      <w:szCs w:val="24"/>
      <w:lang w:val="en-US" w:eastAsia="zh-CN" w:bidi="ar-SA"/>
    </w:rPr>
  </w:style>
  <w:style w:type="character" w:customStyle="1" w:styleId="101">
    <w:name w:val="ca-0"/>
    <w:qFormat/>
    <w:uiPriority w:val="99"/>
  </w:style>
  <w:style w:type="paragraph" w:customStyle="1" w:styleId="102">
    <w:name w:val="pa-2"/>
    <w:qFormat/>
    <w:uiPriority w:val="99"/>
    <w:pPr>
      <w:spacing w:before="100" w:beforeAutospacing="1" w:after="100" w:afterAutospacing="1"/>
    </w:pPr>
    <w:rPr>
      <w:rFonts w:ascii="宋体" w:hAnsi="Times New Roman" w:eastAsia="宋体" w:cs="宋体"/>
      <w:sz w:val="24"/>
      <w:szCs w:val="24"/>
      <w:lang w:val="en-US" w:eastAsia="zh-CN" w:bidi="ar-SA"/>
    </w:rPr>
  </w:style>
  <w:style w:type="paragraph" w:customStyle="1" w:styleId="103">
    <w:name w:val="Char Char Char Char Char Char1 Char"/>
    <w:basedOn w:val="1"/>
    <w:qFormat/>
    <w:uiPriority w:val="99"/>
    <w:pPr>
      <w:autoSpaceDE/>
      <w:autoSpaceDN/>
      <w:ind w:firstLine="0" w:firstLineChars="0"/>
    </w:pPr>
    <w:rPr>
      <w:rFonts w:ascii="Times New Roman" w:hAnsi="Times New Roman" w:eastAsia="宋体"/>
      <w:sz w:val="21"/>
    </w:rPr>
  </w:style>
  <w:style w:type="character" w:customStyle="1" w:styleId="104">
    <w:name w:val="样式 表格 单位 QJJ Char Char"/>
    <w:link w:val="105"/>
    <w:qFormat/>
    <w:locked/>
    <w:uiPriority w:val="99"/>
    <w:rPr>
      <w:rFonts w:ascii="宋体" w:hAnsi="Arial"/>
      <w:snapToGrid w:val="0"/>
      <w:sz w:val="21"/>
      <w:lang w:val="zh-CN"/>
    </w:rPr>
  </w:style>
  <w:style w:type="paragraph" w:customStyle="1" w:styleId="105">
    <w:name w:val="样式 表格 单位 QJJ"/>
    <w:basedOn w:val="1"/>
    <w:link w:val="104"/>
    <w:qFormat/>
    <w:uiPriority w:val="99"/>
    <w:pPr>
      <w:widowControl/>
      <w:wordWrap w:val="0"/>
      <w:autoSpaceDE/>
      <w:autoSpaceDN/>
      <w:ind w:right="240" w:rightChars="100" w:firstLine="0" w:firstLineChars="0"/>
      <w:jc w:val="right"/>
    </w:pPr>
    <w:rPr>
      <w:rFonts w:hAnsi="Arial" w:eastAsia="宋体"/>
      <w:kern w:val="0"/>
      <w:sz w:val="21"/>
      <w:szCs w:val="20"/>
      <w:lang w:val="zh-CN"/>
    </w:rPr>
  </w:style>
  <w:style w:type="paragraph" w:customStyle="1" w:styleId="106">
    <w:name w:val="表题"/>
    <w:next w:val="1"/>
    <w:qFormat/>
    <w:uiPriority w:val="99"/>
    <w:pPr>
      <w:spacing w:beforeLines="20" w:line="420" w:lineRule="exact"/>
      <w:jc w:val="center"/>
    </w:pPr>
    <w:rPr>
      <w:rFonts w:ascii="Times New Roman" w:hAnsi="Times New Roman" w:eastAsia="黑体" w:cs="Times New Roman"/>
      <w:sz w:val="24"/>
      <w:lang w:val="en-US" w:eastAsia="zh-CN" w:bidi="ar-SA"/>
    </w:rPr>
  </w:style>
  <w:style w:type="character" w:customStyle="1" w:styleId="107">
    <w:name w:val="正文段落 Char Char"/>
    <w:link w:val="108"/>
    <w:qFormat/>
    <w:locked/>
    <w:uiPriority w:val="99"/>
    <w:rPr>
      <w:kern w:val="2"/>
      <w:sz w:val="21"/>
    </w:rPr>
  </w:style>
  <w:style w:type="paragraph" w:customStyle="1" w:styleId="108">
    <w:name w:val="正文段落 Char"/>
    <w:basedOn w:val="1"/>
    <w:link w:val="107"/>
    <w:qFormat/>
    <w:uiPriority w:val="99"/>
    <w:pPr>
      <w:autoSpaceDE/>
      <w:autoSpaceDN/>
      <w:adjustRightInd w:val="0"/>
      <w:spacing w:beforeLines="50" w:line="360" w:lineRule="auto"/>
      <w:ind w:firstLine="480"/>
      <w:textAlignment w:val="baseline"/>
    </w:pPr>
    <w:rPr>
      <w:rFonts w:ascii="Times New Roman" w:hAnsi="Times New Roman" w:eastAsia="宋体"/>
      <w:sz w:val="21"/>
      <w:szCs w:val="20"/>
    </w:rPr>
  </w:style>
  <w:style w:type="character" w:customStyle="1" w:styleId="109">
    <w:name w:val="脚注文本 Char"/>
    <w:link w:val="22"/>
    <w:qFormat/>
    <w:locked/>
    <w:uiPriority w:val="99"/>
    <w:rPr>
      <w:kern w:val="2"/>
      <w:sz w:val="18"/>
    </w:rPr>
  </w:style>
  <w:style w:type="character" w:customStyle="1" w:styleId="110">
    <w:name w:val="Footnote Text Char1"/>
    <w:semiHidden/>
    <w:qFormat/>
    <w:locked/>
    <w:uiPriority w:val="99"/>
    <w:rPr>
      <w:rFonts w:ascii="宋体" w:hAnsi="宋体" w:eastAsia="仿宋" w:cs="Times New Roman"/>
      <w:sz w:val="18"/>
      <w:szCs w:val="18"/>
    </w:rPr>
  </w:style>
  <w:style w:type="character" w:customStyle="1" w:styleId="111">
    <w:name w:val="脚注文本 Char1"/>
    <w:semiHidden/>
    <w:qFormat/>
    <w:uiPriority w:val="99"/>
    <w:rPr>
      <w:rFonts w:ascii="宋体" w:hAnsi="宋体" w:eastAsia="仿宋" w:cs="Times New Roman"/>
      <w:kern w:val="2"/>
      <w:sz w:val="18"/>
      <w:szCs w:val="18"/>
    </w:rPr>
  </w:style>
  <w:style w:type="paragraph" w:customStyle="1" w:styleId="112">
    <w:name w:val="正文2"/>
    <w:basedOn w:val="13"/>
    <w:qFormat/>
    <w:uiPriority w:val="99"/>
    <w:pPr>
      <w:widowControl w:val="0"/>
      <w:tabs>
        <w:tab w:val="left" w:pos="735"/>
      </w:tabs>
      <w:spacing w:beforeLines="50" w:afterLines="50" w:line="360" w:lineRule="auto"/>
      <w:ind w:left="0" w:leftChars="0" w:firstLine="200" w:firstLineChars="200"/>
      <w:jc w:val="both"/>
    </w:pPr>
    <w:rPr>
      <w:color w:val="000000"/>
    </w:rPr>
  </w:style>
  <w:style w:type="character" w:customStyle="1" w:styleId="113">
    <w:name w:val="正文文字 Char"/>
    <w:link w:val="114"/>
    <w:qFormat/>
    <w:locked/>
    <w:uiPriority w:val="99"/>
    <w:rPr>
      <w:rFonts w:eastAsia="仿宋_GB2312"/>
      <w:sz w:val="28"/>
    </w:rPr>
  </w:style>
  <w:style w:type="paragraph" w:customStyle="1" w:styleId="114">
    <w:name w:val="正文文字"/>
    <w:basedOn w:val="1"/>
    <w:link w:val="113"/>
    <w:qFormat/>
    <w:uiPriority w:val="99"/>
    <w:pPr>
      <w:autoSpaceDE/>
      <w:autoSpaceDN/>
      <w:spacing w:line="560" w:lineRule="exact"/>
      <w:ind w:firstLine="560"/>
    </w:pPr>
    <w:rPr>
      <w:rFonts w:ascii="Times New Roman" w:hAnsi="Times New Roman" w:eastAsia="仿宋_GB2312"/>
      <w:kern w:val="0"/>
      <w:szCs w:val="20"/>
    </w:rPr>
  </w:style>
  <w:style w:type="character" w:customStyle="1" w:styleId="115">
    <w:name w:val="sjk章节标题 Char"/>
    <w:link w:val="116"/>
    <w:qFormat/>
    <w:locked/>
    <w:uiPriority w:val="99"/>
    <w:rPr>
      <w:rFonts w:ascii="Calibri" w:hAnsi="Calibri" w:cs="Times New Roman"/>
      <w:smallCaps/>
      <w:kern w:val="2"/>
    </w:rPr>
  </w:style>
  <w:style w:type="paragraph" w:customStyle="1" w:styleId="116">
    <w:name w:val="sjk章标题"/>
    <w:basedOn w:val="2"/>
    <w:link w:val="115"/>
    <w:qFormat/>
    <w:uiPriority w:val="99"/>
    <w:pPr>
      <w:autoSpaceDE/>
      <w:autoSpaceDN/>
      <w:spacing w:before="0" w:after="0" w:line="1200" w:lineRule="exact"/>
      <w:ind w:firstLine="0" w:firstLineChars="0"/>
      <w:jc w:val="center"/>
    </w:pPr>
    <w:rPr>
      <w:rFonts w:ascii="Calibri" w:hAnsi="Calibri" w:eastAsia="宋体"/>
      <w:b w:val="0"/>
      <w:bCs w:val="0"/>
      <w:smallCaps/>
      <w:kern w:val="2"/>
      <w:sz w:val="20"/>
      <w:szCs w:val="20"/>
    </w:rPr>
  </w:style>
  <w:style w:type="character" w:customStyle="1" w:styleId="117">
    <w:name w:val="skj三级标题 Char"/>
    <w:link w:val="118"/>
    <w:qFormat/>
    <w:locked/>
    <w:uiPriority w:val="99"/>
    <w:rPr>
      <w:rFonts w:ascii="黑体" w:hAnsi="黑体" w:eastAsia="黑体"/>
      <w:kern w:val="2"/>
      <w:sz w:val="28"/>
      <w:lang w:val="en-US" w:eastAsia="zh-CN"/>
    </w:rPr>
  </w:style>
  <w:style w:type="paragraph" w:customStyle="1" w:styleId="118">
    <w:name w:val="skj三级标题"/>
    <w:basedOn w:val="80"/>
    <w:next w:val="4"/>
    <w:link w:val="117"/>
    <w:qFormat/>
    <w:uiPriority w:val="99"/>
    <w:pPr>
      <w:widowControl w:val="0"/>
      <w:spacing w:before="0" w:afterLines="0"/>
      <w:ind w:firstLine="0"/>
      <w:jc w:val="both"/>
    </w:pPr>
    <w:rPr>
      <w:bCs/>
      <w:iCs/>
    </w:rPr>
  </w:style>
  <w:style w:type="character" w:customStyle="1" w:styleId="119">
    <w:name w:val="日期 Char"/>
    <w:link w:val="16"/>
    <w:qFormat/>
    <w:locked/>
    <w:uiPriority w:val="99"/>
    <w:rPr>
      <w:rFonts w:ascii="宋体" w:eastAsia="宋体" w:cs="Times New Roman"/>
      <w:kern w:val="2"/>
      <w:sz w:val="24"/>
      <w:szCs w:val="24"/>
    </w:rPr>
  </w:style>
  <w:style w:type="paragraph" w:customStyle="1" w:styleId="120">
    <w:name w:val="Char Char Char Char Char Char Char Char Char Char Char Char Char Char Char Char Char Char Char Char Char Char Char Char Char Char Char Char Char Char Char Char Char Char Char Char Char"/>
    <w:basedOn w:val="1"/>
    <w:qFormat/>
    <w:uiPriority w:val="99"/>
    <w:pPr>
      <w:autoSpaceDE/>
      <w:autoSpaceDN/>
      <w:ind w:firstLine="0" w:firstLineChars="0"/>
    </w:pPr>
    <w:rPr>
      <w:rFonts w:ascii="Times New Roman" w:hAnsi="Times New Roman" w:eastAsia="宋体"/>
      <w:sz w:val="21"/>
    </w:rPr>
  </w:style>
  <w:style w:type="paragraph" w:customStyle="1" w:styleId="121">
    <w:name w:val="Char1 Char Char Char Char Char Char"/>
    <w:basedOn w:val="1"/>
    <w:qFormat/>
    <w:uiPriority w:val="99"/>
    <w:pPr>
      <w:autoSpaceDE/>
      <w:autoSpaceDN/>
      <w:spacing w:line="360" w:lineRule="auto"/>
    </w:pPr>
    <w:rPr>
      <w:rFonts w:eastAsia="宋体" w:cs="宋体"/>
      <w:sz w:val="24"/>
    </w:rPr>
  </w:style>
  <w:style w:type="character" w:customStyle="1" w:styleId="122">
    <w:name w:val="批注框文本 Char"/>
    <w:link w:val="18"/>
    <w:semiHidden/>
    <w:qFormat/>
    <w:locked/>
    <w:uiPriority w:val="99"/>
    <w:rPr>
      <w:rFonts w:ascii="宋体" w:eastAsia="宋体" w:cs="Times New Roman"/>
      <w:kern w:val="2"/>
      <w:sz w:val="18"/>
      <w:szCs w:val="18"/>
    </w:rPr>
  </w:style>
  <w:style w:type="paragraph" w:customStyle="1" w:styleId="123">
    <w:name w:val="标准正文"/>
    <w:basedOn w:val="1"/>
    <w:link w:val="124"/>
    <w:qFormat/>
    <w:uiPriority w:val="99"/>
    <w:pPr>
      <w:autoSpaceDE/>
      <w:autoSpaceDN/>
      <w:spacing w:line="520" w:lineRule="exact"/>
    </w:pPr>
    <w:rPr>
      <w:rFonts w:hAnsi="Times New Roman" w:eastAsia="宋体"/>
      <w:sz w:val="24"/>
      <w:szCs w:val="20"/>
    </w:rPr>
  </w:style>
  <w:style w:type="character" w:customStyle="1" w:styleId="124">
    <w:name w:val="标准正文 Char"/>
    <w:link w:val="123"/>
    <w:qFormat/>
    <w:locked/>
    <w:uiPriority w:val="99"/>
    <w:rPr>
      <w:rFonts w:ascii="宋体" w:eastAsia="宋体"/>
      <w:snapToGrid w:val="0"/>
      <w:kern w:val="2"/>
      <w:sz w:val="24"/>
    </w:rPr>
  </w:style>
  <w:style w:type="character" w:customStyle="1" w:styleId="125">
    <w:name w:val="批注文字 Char"/>
    <w:link w:val="12"/>
    <w:semiHidden/>
    <w:qFormat/>
    <w:locked/>
    <w:uiPriority w:val="99"/>
    <w:rPr>
      <w:rFonts w:ascii="宋体" w:eastAsia="宋体" w:cs="Times New Roman"/>
      <w:kern w:val="2"/>
      <w:sz w:val="24"/>
      <w:szCs w:val="24"/>
    </w:rPr>
  </w:style>
  <w:style w:type="character" w:customStyle="1" w:styleId="126">
    <w:name w:val="t_tag"/>
    <w:qFormat/>
    <w:uiPriority w:val="99"/>
    <w:rPr>
      <w:rFonts w:cs="Times New Roman"/>
    </w:rPr>
  </w:style>
  <w:style w:type="character" w:customStyle="1" w:styleId="127">
    <w:name w:val="批注主题 Char"/>
    <w:link w:val="28"/>
    <w:qFormat/>
    <w:locked/>
    <w:uiPriority w:val="99"/>
    <w:rPr>
      <w:rFonts w:ascii="宋体" w:eastAsia="宋体" w:cs="Times New Roman"/>
      <w:b/>
      <w:bCs/>
      <w:kern w:val="2"/>
      <w:sz w:val="24"/>
      <w:szCs w:val="24"/>
    </w:rPr>
  </w:style>
  <w:style w:type="paragraph" w:customStyle="1" w:styleId="128">
    <w:name w:val="样式1"/>
    <w:basedOn w:val="1"/>
    <w:qFormat/>
    <w:uiPriority w:val="99"/>
    <w:pPr>
      <w:autoSpaceDE/>
      <w:autoSpaceDN/>
      <w:spacing w:line="560" w:lineRule="exact"/>
    </w:pPr>
    <w:rPr>
      <w:rFonts w:ascii="Times New Roman" w:hAnsi="Times New Roman" w:eastAsia="仿宋_GB2312"/>
      <w:sz w:val="32"/>
    </w:rPr>
  </w:style>
  <w:style w:type="character" w:customStyle="1" w:styleId="129">
    <w:name w:val="article_news_link"/>
    <w:qFormat/>
    <w:uiPriority w:val="99"/>
    <w:rPr>
      <w:rFonts w:cs="Times New Roman"/>
    </w:rPr>
  </w:style>
  <w:style w:type="paragraph" w:customStyle="1" w:styleId="130">
    <w:name w:val="Char Char Char Char Char Char Char Char Char Char"/>
    <w:basedOn w:val="1"/>
    <w:qFormat/>
    <w:uiPriority w:val="99"/>
    <w:pPr>
      <w:widowControl/>
      <w:autoSpaceDE/>
      <w:autoSpaceDN/>
      <w:spacing w:after="160" w:line="240" w:lineRule="exact"/>
      <w:ind w:firstLine="0" w:firstLineChars="0"/>
      <w:jc w:val="left"/>
    </w:pPr>
    <w:rPr>
      <w:rFonts w:ascii="Verdana" w:hAnsi="Verdana" w:eastAsia="宋体"/>
      <w:kern w:val="0"/>
      <w:sz w:val="20"/>
      <w:szCs w:val="20"/>
      <w:lang w:eastAsia="en-US"/>
    </w:rPr>
  </w:style>
  <w:style w:type="paragraph" w:customStyle="1" w:styleId="131">
    <w:name w:val="Char Char Char Char"/>
    <w:basedOn w:val="11"/>
    <w:qFormat/>
    <w:uiPriority w:val="99"/>
    <w:pPr>
      <w:shd w:val="clear" w:color="auto" w:fill="000080"/>
      <w:autoSpaceDE/>
      <w:autoSpaceDN/>
      <w:ind w:firstLine="0" w:firstLineChars="0"/>
    </w:pPr>
    <w:rPr>
      <w:rFonts w:ascii="Tahoma" w:hAnsi="Tahoma"/>
      <w:sz w:val="24"/>
      <w:szCs w:val="24"/>
    </w:rPr>
  </w:style>
  <w:style w:type="paragraph" w:customStyle="1" w:styleId="132">
    <w:name w:val="列出段落1"/>
    <w:basedOn w:val="1"/>
    <w:qFormat/>
    <w:uiPriority w:val="99"/>
    <w:pPr>
      <w:autoSpaceDE/>
      <w:autoSpaceDN/>
      <w:ind w:firstLine="420"/>
    </w:pPr>
    <w:rPr>
      <w:rFonts w:ascii="Times New Roman" w:hAnsi="Times New Roman" w:eastAsia="宋体"/>
      <w:sz w:val="21"/>
    </w:rPr>
  </w:style>
  <w:style w:type="paragraph" w:customStyle="1" w:styleId="133">
    <w:name w:val="font5"/>
    <w:basedOn w:val="1"/>
    <w:qFormat/>
    <w:uiPriority w:val="99"/>
    <w:pPr>
      <w:widowControl/>
      <w:autoSpaceDE/>
      <w:autoSpaceDN/>
      <w:spacing w:before="100" w:beforeAutospacing="1" w:after="100" w:afterAutospacing="1"/>
      <w:ind w:firstLine="0" w:firstLineChars="0"/>
      <w:jc w:val="left"/>
    </w:pPr>
    <w:rPr>
      <w:rFonts w:eastAsia="宋体" w:cs="宋体"/>
      <w:kern w:val="0"/>
      <w:sz w:val="18"/>
      <w:szCs w:val="18"/>
    </w:rPr>
  </w:style>
  <w:style w:type="paragraph" w:customStyle="1" w:styleId="134">
    <w:name w:val="xl63"/>
    <w:basedOn w:val="1"/>
    <w:qFormat/>
    <w:uiPriority w:val="99"/>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ind w:firstLine="0" w:firstLineChars="0"/>
      <w:jc w:val="center"/>
      <w:textAlignment w:val="center"/>
    </w:pPr>
    <w:rPr>
      <w:rFonts w:eastAsia="宋体" w:cs="宋体"/>
      <w:color w:val="FF0000"/>
      <w:kern w:val="0"/>
      <w:sz w:val="21"/>
      <w:szCs w:val="21"/>
    </w:rPr>
  </w:style>
  <w:style w:type="paragraph" w:customStyle="1" w:styleId="135">
    <w:name w:val="xl64"/>
    <w:basedOn w:val="1"/>
    <w:qFormat/>
    <w:uiPriority w:val="99"/>
    <w:pPr>
      <w:widowControl/>
      <w:pBdr>
        <w:top w:val="single" w:color="auto" w:sz="4" w:space="0"/>
        <w:left w:val="single" w:color="auto" w:sz="4" w:space="0"/>
        <w:right w:val="single" w:color="auto" w:sz="4" w:space="0"/>
      </w:pBdr>
      <w:autoSpaceDE/>
      <w:autoSpaceDN/>
      <w:spacing w:before="100" w:beforeAutospacing="1" w:after="100" w:afterAutospacing="1"/>
      <w:ind w:firstLine="0" w:firstLineChars="0"/>
      <w:jc w:val="center"/>
      <w:textAlignment w:val="center"/>
    </w:pPr>
    <w:rPr>
      <w:rFonts w:eastAsia="宋体" w:cs="宋体"/>
      <w:color w:val="FF0000"/>
      <w:kern w:val="0"/>
      <w:sz w:val="24"/>
    </w:rPr>
  </w:style>
  <w:style w:type="paragraph" w:customStyle="1" w:styleId="136">
    <w:name w:val="xl65"/>
    <w:basedOn w:val="1"/>
    <w:qFormat/>
    <w:uiPriority w:val="99"/>
    <w:pPr>
      <w:widowControl/>
      <w:autoSpaceDE/>
      <w:autoSpaceDN/>
      <w:spacing w:before="100" w:beforeAutospacing="1" w:after="100" w:afterAutospacing="1"/>
      <w:ind w:firstLine="0" w:firstLineChars="0"/>
      <w:jc w:val="center"/>
      <w:textAlignment w:val="center"/>
    </w:pPr>
    <w:rPr>
      <w:rFonts w:ascii="黑体" w:eastAsia="黑体" w:cs="宋体"/>
      <w:color w:val="FF0000"/>
      <w:kern w:val="0"/>
      <w:sz w:val="44"/>
      <w:szCs w:val="44"/>
    </w:rPr>
  </w:style>
  <w:style w:type="paragraph" w:customStyle="1" w:styleId="137">
    <w:name w:val="xl66"/>
    <w:basedOn w:val="1"/>
    <w:qFormat/>
    <w:uiPriority w:val="99"/>
    <w:pPr>
      <w:widowControl/>
      <w:autoSpaceDE/>
      <w:autoSpaceDN/>
      <w:spacing w:before="100" w:beforeAutospacing="1" w:after="100" w:afterAutospacing="1"/>
      <w:ind w:firstLine="0" w:firstLineChars="0"/>
      <w:jc w:val="center"/>
      <w:textAlignment w:val="center"/>
    </w:pPr>
    <w:rPr>
      <w:rFonts w:eastAsia="宋体" w:cs="宋体"/>
      <w:kern w:val="0"/>
      <w:sz w:val="44"/>
      <w:szCs w:val="44"/>
    </w:rPr>
  </w:style>
  <w:style w:type="paragraph" w:customStyle="1" w:styleId="138">
    <w:name w:val="xl67"/>
    <w:basedOn w:val="1"/>
    <w:qFormat/>
    <w:uiPriority w:val="99"/>
    <w:pPr>
      <w:widowControl/>
      <w:autoSpaceDE/>
      <w:autoSpaceDN/>
      <w:spacing w:before="100" w:beforeAutospacing="1" w:after="100" w:afterAutospacing="1"/>
      <w:ind w:firstLine="0" w:firstLineChars="0"/>
      <w:jc w:val="center"/>
      <w:textAlignment w:val="center"/>
    </w:pPr>
    <w:rPr>
      <w:rFonts w:eastAsia="宋体" w:cs="宋体"/>
      <w:kern w:val="0"/>
      <w:sz w:val="44"/>
      <w:szCs w:val="44"/>
    </w:rPr>
  </w:style>
  <w:style w:type="character" w:customStyle="1" w:styleId="139">
    <w:name w:val="HTML 预设格式 Char"/>
    <w:link w:val="25"/>
    <w:qFormat/>
    <w:locked/>
    <w:uiPriority w:val="99"/>
    <w:rPr>
      <w:rFonts w:ascii="宋体" w:cs="宋体"/>
      <w:sz w:val="24"/>
    </w:rPr>
  </w:style>
  <w:style w:type="paragraph" w:customStyle="1" w:styleId="140">
    <w:name w:val="表格"/>
    <w:basedOn w:val="1"/>
    <w:link w:val="141"/>
    <w:qFormat/>
    <w:uiPriority w:val="99"/>
    <w:pPr>
      <w:autoSpaceDE/>
      <w:autoSpaceDN/>
      <w:spacing w:line="240" w:lineRule="atLeast"/>
      <w:ind w:firstLine="0" w:firstLineChars="0"/>
      <w:jc w:val="left"/>
    </w:pPr>
    <w:rPr>
      <w:rFonts w:ascii="楷体" w:hAnsi="楷体" w:eastAsia="楷体"/>
      <w:spacing w:val="-16"/>
      <w:kern w:val="0"/>
      <w:sz w:val="21"/>
      <w:szCs w:val="20"/>
    </w:rPr>
  </w:style>
  <w:style w:type="character" w:customStyle="1" w:styleId="141">
    <w:name w:val="表格 Char"/>
    <w:link w:val="140"/>
    <w:qFormat/>
    <w:locked/>
    <w:uiPriority w:val="99"/>
    <w:rPr>
      <w:rFonts w:ascii="楷体" w:hAnsi="楷体" w:eastAsia="楷体"/>
      <w:spacing w:val="-16"/>
      <w:sz w:val="21"/>
    </w:rPr>
  </w:style>
  <w:style w:type="paragraph" w:customStyle="1" w:styleId="142">
    <w:name w:val="p0"/>
    <w:basedOn w:val="1"/>
    <w:qFormat/>
    <w:uiPriority w:val="99"/>
    <w:pPr>
      <w:widowControl/>
      <w:autoSpaceDE/>
      <w:autoSpaceDN/>
      <w:spacing w:line="408" w:lineRule="auto"/>
      <w:ind w:left="1" w:firstLine="0" w:firstLineChars="0"/>
    </w:pPr>
    <w:rPr>
      <w:rFonts w:ascii="Times New Roman" w:hAnsi="Times New Roman" w:eastAsia="宋体"/>
      <w:color w:val="000000"/>
      <w:kern w:val="0"/>
      <w:sz w:val="21"/>
      <w:szCs w:val="21"/>
    </w:rPr>
  </w:style>
  <w:style w:type="character" w:customStyle="1" w:styleId="143">
    <w:name w:val="ca-9"/>
    <w:qFormat/>
    <w:uiPriority w:val="99"/>
    <w:rPr>
      <w:rFonts w:cs="Times New Roman"/>
    </w:rPr>
  </w:style>
  <w:style w:type="character" w:customStyle="1" w:styleId="144">
    <w:name w:val="ca-5"/>
    <w:qFormat/>
    <w:uiPriority w:val="99"/>
    <w:rPr>
      <w:rFonts w:cs="Times New Roman"/>
    </w:rPr>
  </w:style>
  <w:style w:type="paragraph" w:customStyle="1" w:styleId="145">
    <w:name w:val="Char Char Char Char Char Char Char Char Char Char Char Char Char Char Char Char Char Char Char Char Char Char Char Char Char Char Char Char Char Char Char Char Char Char Char Char Char Char Char Char"/>
    <w:basedOn w:val="1"/>
    <w:qFormat/>
    <w:uiPriority w:val="99"/>
    <w:pPr>
      <w:autoSpaceDE/>
      <w:autoSpaceDN/>
      <w:ind w:firstLine="0" w:firstLineChars="0"/>
    </w:pPr>
    <w:rPr>
      <w:rFonts w:ascii="Times New Roman" w:hAnsi="Times New Roman" w:eastAsia="宋体"/>
      <w:sz w:val="21"/>
    </w:rPr>
  </w:style>
  <w:style w:type="character" w:customStyle="1" w:styleId="146">
    <w:name w:val="description6"/>
    <w:qFormat/>
    <w:uiPriority w:val="99"/>
    <w:rPr>
      <w:rFonts w:cs="Times New Roman"/>
    </w:rPr>
  </w:style>
  <w:style w:type="character" w:customStyle="1" w:styleId="147">
    <w:name w:val="bds_more5"/>
    <w:qFormat/>
    <w:uiPriority w:val="99"/>
    <w:rPr>
      <w:rFonts w:ascii="宋体" w:hAnsi="宋体" w:eastAsia="宋体" w:cs="Times New Roman"/>
    </w:rPr>
  </w:style>
  <w:style w:type="paragraph" w:customStyle="1" w:styleId="148">
    <w:name w:val="List Paragraph1"/>
    <w:basedOn w:val="1"/>
    <w:qFormat/>
    <w:uiPriority w:val="99"/>
    <w:pPr>
      <w:autoSpaceDE/>
      <w:autoSpaceDN/>
      <w:ind w:firstLine="420"/>
    </w:pPr>
    <w:rPr>
      <w:rFonts w:ascii="Times New Roman" w:hAnsi="Times New Roman" w:eastAsia="宋体"/>
      <w:sz w:val="21"/>
      <w:szCs w:val="21"/>
    </w:rPr>
  </w:style>
  <w:style w:type="paragraph" w:customStyle="1" w:styleId="149">
    <w:name w:val="Char Char Char Char1"/>
    <w:basedOn w:val="1"/>
    <w:qFormat/>
    <w:uiPriority w:val="99"/>
    <w:pPr>
      <w:autoSpaceDE/>
      <w:autoSpaceDN/>
      <w:ind w:firstLine="0" w:firstLineChars="0"/>
    </w:pPr>
    <w:rPr>
      <w:rFonts w:ascii="Times New Roman" w:hAnsi="Times New Roman" w:eastAsia="宋体"/>
      <w:sz w:val="21"/>
      <w:szCs w:val="20"/>
    </w:rPr>
  </w:style>
  <w:style w:type="character" w:customStyle="1" w:styleId="150">
    <w:name w:val="标题 Char"/>
    <w:link w:val="27"/>
    <w:qFormat/>
    <w:locked/>
    <w:uiPriority w:val="99"/>
    <w:rPr>
      <w:rFonts w:ascii="Cambria" w:hAnsi="Cambria" w:cs="Times New Roman"/>
      <w:b/>
      <w:bCs/>
      <w:kern w:val="2"/>
      <w:sz w:val="32"/>
      <w:szCs w:val="32"/>
    </w:rPr>
  </w:style>
  <w:style w:type="character" w:customStyle="1" w:styleId="151">
    <w:name w:val="apple-style-span"/>
    <w:qFormat/>
    <w:uiPriority w:val="99"/>
    <w:rPr>
      <w:rFonts w:cs="Times New Roman"/>
    </w:rPr>
  </w:style>
  <w:style w:type="paragraph" w:customStyle="1" w:styleId="152">
    <w:name w:val="黑体加粗"/>
    <w:basedOn w:val="1"/>
    <w:qFormat/>
    <w:uiPriority w:val="99"/>
    <w:pPr>
      <w:autoSpaceDE/>
      <w:autoSpaceDN/>
      <w:spacing w:beforeLines="100" w:line="360" w:lineRule="auto"/>
      <w:ind w:firstLine="562"/>
    </w:pPr>
    <w:rPr>
      <w:rFonts w:ascii="Times New Roman" w:eastAsia="黑体" w:cs="宋体"/>
      <w:b/>
      <w:kern w:val="0"/>
      <w:szCs w:val="21"/>
    </w:rPr>
  </w:style>
  <w:style w:type="paragraph" w:customStyle="1" w:styleId="153">
    <w:name w:val="Char Char"/>
    <w:basedOn w:val="1"/>
    <w:qFormat/>
    <w:uiPriority w:val="99"/>
    <w:pPr>
      <w:widowControl/>
      <w:autoSpaceDE/>
      <w:autoSpaceDN/>
      <w:spacing w:after="160" w:line="240" w:lineRule="exact"/>
      <w:ind w:firstLine="624" w:firstLineChars="0"/>
      <w:jc w:val="left"/>
    </w:pPr>
    <w:rPr>
      <w:rFonts w:ascii="Verdana" w:hAnsi="Verdana" w:eastAsia="仿宋_GB2312"/>
      <w:kern w:val="0"/>
      <w:sz w:val="20"/>
      <w:szCs w:val="20"/>
      <w:lang w:eastAsia="en-US"/>
    </w:rPr>
  </w:style>
  <w:style w:type="paragraph" w:customStyle="1" w:styleId="154">
    <w:name w:val="Char Char Char"/>
    <w:basedOn w:val="1"/>
    <w:qFormat/>
    <w:uiPriority w:val="99"/>
    <w:pPr>
      <w:autoSpaceDE/>
      <w:autoSpaceDN/>
      <w:spacing w:line="360" w:lineRule="auto"/>
      <w:ind w:firstLine="0" w:firstLineChars="0"/>
    </w:pPr>
    <w:rPr>
      <w:rFonts w:eastAsia="宋体"/>
      <w:sz w:val="30"/>
      <w:szCs w:val="30"/>
      <w:lang w:eastAsia="en-US"/>
    </w:rPr>
  </w:style>
  <w:style w:type="paragraph" w:customStyle="1" w:styleId="155">
    <w:name w:val="Char Char1"/>
    <w:basedOn w:val="1"/>
    <w:qFormat/>
    <w:uiPriority w:val="99"/>
    <w:pPr>
      <w:autoSpaceDE/>
      <w:autoSpaceDN/>
      <w:snapToGrid w:val="0"/>
      <w:spacing w:line="360" w:lineRule="auto"/>
      <w:ind w:firstLine="0" w:firstLineChars="0"/>
    </w:pPr>
    <w:rPr>
      <w:rFonts w:ascii="Times New Roman" w:hAnsi="Times New Roman" w:eastAsia="仿宋_GB2312"/>
      <w:sz w:val="32"/>
      <w:szCs w:val="20"/>
    </w:rPr>
  </w:style>
  <w:style w:type="paragraph" w:customStyle="1" w:styleId="156">
    <w:name w:val="Char1"/>
    <w:basedOn w:val="1"/>
    <w:qFormat/>
    <w:uiPriority w:val="99"/>
    <w:pPr>
      <w:tabs>
        <w:tab w:val="left" w:pos="360"/>
      </w:tabs>
      <w:autoSpaceDE/>
      <w:autoSpaceDN/>
      <w:snapToGrid w:val="0"/>
      <w:spacing w:line="360" w:lineRule="auto"/>
      <w:ind w:firstLine="0" w:firstLineChars="0"/>
    </w:pPr>
    <w:rPr>
      <w:rFonts w:ascii="Times New Roman" w:hAnsi="Times New Roman" w:eastAsia="宋体"/>
      <w:sz w:val="21"/>
    </w:rPr>
  </w:style>
  <w:style w:type="character" w:customStyle="1" w:styleId="157">
    <w:name w:val="正文1统一 Char"/>
    <w:link w:val="158"/>
    <w:qFormat/>
    <w:locked/>
    <w:uiPriority w:val="99"/>
    <w:rPr>
      <w:rFonts w:hAnsi="宋体"/>
      <w:sz w:val="24"/>
    </w:rPr>
  </w:style>
  <w:style w:type="paragraph" w:customStyle="1" w:styleId="158">
    <w:name w:val="正文1统一"/>
    <w:basedOn w:val="1"/>
    <w:link w:val="157"/>
    <w:qFormat/>
    <w:uiPriority w:val="99"/>
    <w:pPr>
      <w:autoSpaceDE/>
      <w:autoSpaceDN/>
      <w:spacing w:line="540" w:lineRule="exact"/>
    </w:pPr>
    <w:rPr>
      <w:rFonts w:ascii="Times New Roman" w:eastAsia="宋体"/>
      <w:kern w:val="0"/>
      <w:sz w:val="24"/>
      <w:szCs w:val="20"/>
    </w:rPr>
  </w:style>
  <w:style w:type="character" w:customStyle="1" w:styleId="159">
    <w:name w:val="font41"/>
    <w:qFormat/>
    <w:uiPriority w:val="99"/>
    <w:rPr>
      <w:rFonts w:ascii="宋体" w:hAnsi="宋体" w:eastAsia="宋体"/>
      <w:color w:val="000000"/>
      <w:sz w:val="24"/>
      <w:u w:val="none"/>
    </w:rPr>
  </w:style>
  <w:style w:type="paragraph" w:customStyle="1" w:styleId="160">
    <w:name w:val="xl68"/>
    <w:basedOn w:val="1"/>
    <w:qFormat/>
    <w:uiPriority w:val="99"/>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ind w:firstLine="0" w:firstLineChars="0"/>
      <w:jc w:val="left"/>
    </w:pPr>
    <w:rPr>
      <w:rFonts w:eastAsia="宋体" w:cs="宋体"/>
      <w:kern w:val="0"/>
      <w:sz w:val="24"/>
    </w:rPr>
  </w:style>
  <w:style w:type="paragraph" w:customStyle="1" w:styleId="161">
    <w:name w:val="xl69"/>
    <w:basedOn w:val="1"/>
    <w:qFormat/>
    <w:uiPriority w:val="99"/>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ind w:firstLine="0" w:firstLineChars="0"/>
      <w:jc w:val="center"/>
      <w:textAlignment w:val="center"/>
    </w:pPr>
    <w:rPr>
      <w:rFonts w:eastAsia="宋体" w:cs="宋体"/>
      <w:kern w:val="0"/>
      <w:sz w:val="21"/>
      <w:szCs w:val="21"/>
    </w:rPr>
  </w:style>
  <w:style w:type="paragraph" w:customStyle="1" w:styleId="162">
    <w:name w:val="xl70"/>
    <w:basedOn w:val="1"/>
    <w:qFormat/>
    <w:uiPriority w:val="99"/>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ind w:firstLine="0" w:firstLineChars="0"/>
      <w:jc w:val="center"/>
      <w:textAlignment w:val="center"/>
    </w:pPr>
    <w:rPr>
      <w:rFonts w:eastAsia="宋体" w:cs="宋体"/>
      <w:kern w:val="0"/>
      <w:sz w:val="24"/>
    </w:rPr>
  </w:style>
  <w:style w:type="paragraph" w:customStyle="1" w:styleId="163">
    <w:name w:val="xl71"/>
    <w:basedOn w:val="1"/>
    <w:qFormat/>
    <w:uiPriority w:val="99"/>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ind w:firstLine="0" w:firstLineChars="0"/>
      <w:jc w:val="center"/>
      <w:textAlignment w:val="center"/>
    </w:pPr>
    <w:rPr>
      <w:rFonts w:eastAsia="宋体" w:cs="宋体"/>
      <w:kern w:val="0"/>
      <w:sz w:val="21"/>
      <w:szCs w:val="21"/>
    </w:rPr>
  </w:style>
  <w:style w:type="paragraph" w:customStyle="1" w:styleId="164">
    <w:name w:val="xl72"/>
    <w:basedOn w:val="1"/>
    <w:qFormat/>
    <w:uiPriority w:val="99"/>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ind w:firstLine="0" w:firstLineChars="0"/>
      <w:jc w:val="center"/>
      <w:textAlignment w:val="center"/>
    </w:pPr>
    <w:rPr>
      <w:rFonts w:eastAsia="宋体" w:cs="宋体"/>
      <w:b/>
      <w:bCs/>
      <w:kern w:val="0"/>
      <w:sz w:val="21"/>
      <w:szCs w:val="21"/>
    </w:rPr>
  </w:style>
  <w:style w:type="paragraph" w:customStyle="1" w:styleId="165">
    <w:name w:val="xl73"/>
    <w:basedOn w:val="1"/>
    <w:qFormat/>
    <w:uiPriority w:val="99"/>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ind w:firstLine="0" w:firstLineChars="0"/>
      <w:jc w:val="center"/>
    </w:pPr>
    <w:rPr>
      <w:rFonts w:eastAsia="宋体" w:cs="宋体"/>
      <w:kern w:val="0"/>
      <w:sz w:val="24"/>
    </w:rPr>
  </w:style>
  <w:style w:type="paragraph" w:customStyle="1" w:styleId="166">
    <w:name w:val="xl74"/>
    <w:basedOn w:val="1"/>
    <w:qFormat/>
    <w:uiPriority w:val="99"/>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ind w:firstLine="0" w:firstLineChars="0"/>
      <w:jc w:val="center"/>
      <w:textAlignment w:val="center"/>
    </w:pPr>
    <w:rPr>
      <w:rFonts w:eastAsia="宋体" w:cs="宋体"/>
      <w:b/>
      <w:bCs/>
      <w:color w:val="000000"/>
      <w:kern w:val="0"/>
      <w:sz w:val="21"/>
      <w:szCs w:val="21"/>
    </w:rPr>
  </w:style>
  <w:style w:type="paragraph" w:customStyle="1" w:styleId="167">
    <w:name w:val="xl75"/>
    <w:basedOn w:val="1"/>
    <w:qFormat/>
    <w:uiPriority w:val="99"/>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ind w:firstLine="0" w:firstLineChars="0"/>
      <w:jc w:val="center"/>
      <w:textAlignment w:val="center"/>
    </w:pPr>
    <w:rPr>
      <w:rFonts w:eastAsia="宋体" w:cs="宋体"/>
      <w:kern w:val="0"/>
      <w:sz w:val="24"/>
    </w:rPr>
  </w:style>
  <w:style w:type="paragraph" w:customStyle="1" w:styleId="168">
    <w:name w:val="xl76"/>
    <w:basedOn w:val="1"/>
    <w:qFormat/>
    <w:uiPriority w:val="99"/>
    <w:pPr>
      <w:widowControl/>
      <w:autoSpaceDE/>
      <w:autoSpaceDN/>
      <w:spacing w:before="100" w:beforeAutospacing="1" w:after="100" w:afterAutospacing="1"/>
      <w:ind w:firstLine="0" w:firstLineChars="0"/>
      <w:jc w:val="center"/>
      <w:textAlignment w:val="center"/>
    </w:pPr>
    <w:rPr>
      <w:rFonts w:eastAsia="宋体" w:cs="宋体"/>
      <w:kern w:val="0"/>
      <w:sz w:val="24"/>
    </w:rPr>
  </w:style>
  <w:style w:type="paragraph" w:customStyle="1" w:styleId="169">
    <w:name w:val="xl77"/>
    <w:basedOn w:val="1"/>
    <w:qFormat/>
    <w:uiPriority w:val="99"/>
    <w:pPr>
      <w:widowControl/>
      <w:autoSpaceDE/>
      <w:autoSpaceDN/>
      <w:spacing w:before="100" w:beforeAutospacing="1" w:after="100" w:afterAutospacing="1"/>
      <w:ind w:firstLine="0" w:firstLineChars="0"/>
      <w:jc w:val="center"/>
      <w:textAlignment w:val="center"/>
    </w:pPr>
    <w:rPr>
      <w:rFonts w:eastAsia="宋体" w:cs="宋体"/>
      <w:kern w:val="0"/>
      <w:sz w:val="24"/>
    </w:rPr>
  </w:style>
  <w:style w:type="paragraph" w:customStyle="1" w:styleId="170">
    <w:name w:val="xl78"/>
    <w:basedOn w:val="1"/>
    <w:qFormat/>
    <w:uiPriority w:val="99"/>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ind w:firstLine="0" w:firstLineChars="0"/>
      <w:jc w:val="center"/>
      <w:textAlignment w:val="center"/>
    </w:pPr>
    <w:rPr>
      <w:rFonts w:eastAsia="宋体" w:cs="宋体"/>
      <w:color w:val="000000"/>
      <w:kern w:val="0"/>
      <w:sz w:val="21"/>
      <w:szCs w:val="21"/>
    </w:rPr>
  </w:style>
  <w:style w:type="paragraph" w:customStyle="1" w:styleId="171">
    <w:name w:val="xl79"/>
    <w:basedOn w:val="1"/>
    <w:qFormat/>
    <w:uiPriority w:val="99"/>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ind w:firstLine="0" w:firstLineChars="0"/>
      <w:jc w:val="center"/>
      <w:textAlignment w:val="center"/>
    </w:pPr>
    <w:rPr>
      <w:rFonts w:eastAsia="宋体" w:cs="宋体"/>
      <w:color w:val="000000"/>
      <w:kern w:val="0"/>
      <w:sz w:val="21"/>
      <w:szCs w:val="21"/>
    </w:rPr>
  </w:style>
  <w:style w:type="paragraph" w:customStyle="1" w:styleId="172">
    <w:name w:val="xl80"/>
    <w:basedOn w:val="1"/>
    <w:qFormat/>
    <w:uiPriority w:val="99"/>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ind w:firstLine="0" w:firstLineChars="0"/>
      <w:jc w:val="center"/>
      <w:textAlignment w:val="center"/>
    </w:pPr>
    <w:rPr>
      <w:rFonts w:eastAsia="宋体" w:cs="宋体"/>
      <w:b/>
      <w:bCs/>
      <w:color w:val="FF0000"/>
      <w:kern w:val="0"/>
      <w:sz w:val="21"/>
      <w:szCs w:val="21"/>
    </w:rPr>
  </w:style>
  <w:style w:type="paragraph" w:customStyle="1" w:styleId="173">
    <w:name w:val="xl81"/>
    <w:basedOn w:val="1"/>
    <w:qFormat/>
    <w:uiPriority w:val="99"/>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ind w:firstLine="0" w:firstLineChars="0"/>
      <w:jc w:val="center"/>
      <w:textAlignment w:val="center"/>
    </w:pPr>
    <w:rPr>
      <w:rFonts w:eastAsia="宋体" w:cs="宋体"/>
      <w:b/>
      <w:bCs/>
      <w:color w:val="000000"/>
      <w:kern w:val="0"/>
      <w:sz w:val="21"/>
      <w:szCs w:val="21"/>
    </w:rPr>
  </w:style>
  <w:style w:type="paragraph" w:customStyle="1" w:styleId="174">
    <w:name w:val="xl82"/>
    <w:basedOn w:val="1"/>
    <w:qFormat/>
    <w:uiPriority w:val="99"/>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ind w:firstLine="0" w:firstLineChars="0"/>
      <w:jc w:val="left"/>
    </w:pPr>
    <w:rPr>
      <w:rFonts w:eastAsia="宋体" w:cs="宋体"/>
      <w:b/>
      <w:bCs/>
      <w:kern w:val="0"/>
      <w:sz w:val="24"/>
    </w:rPr>
  </w:style>
  <w:style w:type="paragraph" w:customStyle="1" w:styleId="175">
    <w:name w:val="xl83"/>
    <w:basedOn w:val="1"/>
    <w:qFormat/>
    <w:uiPriority w:val="99"/>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ind w:firstLine="0" w:firstLineChars="0"/>
      <w:jc w:val="center"/>
      <w:textAlignment w:val="center"/>
    </w:pPr>
    <w:rPr>
      <w:rFonts w:eastAsia="宋体" w:cs="宋体"/>
      <w:b/>
      <w:bCs/>
      <w:kern w:val="0"/>
      <w:sz w:val="24"/>
    </w:rPr>
  </w:style>
  <w:style w:type="paragraph" w:customStyle="1" w:styleId="176">
    <w:name w:val="xl84"/>
    <w:basedOn w:val="1"/>
    <w:qFormat/>
    <w:uiPriority w:val="99"/>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ind w:firstLine="0" w:firstLineChars="0"/>
      <w:jc w:val="center"/>
    </w:pPr>
    <w:rPr>
      <w:rFonts w:eastAsia="宋体" w:cs="宋体"/>
      <w:b/>
      <w:bCs/>
      <w:kern w:val="0"/>
      <w:sz w:val="24"/>
    </w:rPr>
  </w:style>
  <w:style w:type="paragraph" w:customStyle="1" w:styleId="177">
    <w:name w:val="xl85"/>
    <w:basedOn w:val="1"/>
    <w:qFormat/>
    <w:uiPriority w:val="99"/>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ind w:firstLine="0" w:firstLineChars="0"/>
      <w:jc w:val="center"/>
      <w:textAlignment w:val="center"/>
    </w:pPr>
    <w:rPr>
      <w:rFonts w:eastAsia="宋体" w:cs="宋体"/>
      <w:color w:val="000000"/>
      <w:kern w:val="0"/>
      <w:sz w:val="21"/>
      <w:szCs w:val="21"/>
    </w:rPr>
  </w:style>
  <w:style w:type="paragraph" w:customStyle="1" w:styleId="178">
    <w:name w:val="xl86"/>
    <w:basedOn w:val="1"/>
    <w:qFormat/>
    <w:uiPriority w:val="99"/>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ind w:firstLine="0" w:firstLineChars="0"/>
      <w:jc w:val="center"/>
      <w:textAlignment w:val="center"/>
    </w:pPr>
    <w:rPr>
      <w:rFonts w:eastAsia="宋体" w:cs="宋体"/>
      <w:kern w:val="0"/>
      <w:sz w:val="21"/>
      <w:szCs w:val="21"/>
    </w:rPr>
  </w:style>
  <w:style w:type="paragraph" w:customStyle="1" w:styleId="179">
    <w:name w:val="xl87"/>
    <w:basedOn w:val="1"/>
    <w:qFormat/>
    <w:uiPriority w:val="99"/>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ind w:firstLine="0" w:firstLineChars="0"/>
      <w:jc w:val="center"/>
      <w:textAlignment w:val="center"/>
    </w:pPr>
    <w:rPr>
      <w:rFonts w:eastAsia="宋体" w:cs="宋体"/>
      <w:b/>
      <w:bCs/>
      <w:color w:val="000000"/>
      <w:kern w:val="0"/>
      <w:sz w:val="21"/>
      <w:szCs w:val="21"/>
    </w:rPr>
  </w:style>
  <w:style w:type="paragraph" w:customStyle="1" w:styleId="180">
    <w:name w:val="xl88"/>
    <w:basedOn w:val="1"/>
    <w:qFormat/>
    <w:uiPriority w:val="99"/>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ind w:firstLine="0" w:firstLineChars="0"/>
      <w:jc w:val="center"/>
      <w:textAlignment w:val="center"/>
    </w:pPr>
    <w:rPr>
      <w:rFonts w:eastAsia="宋体" w:cs="宋体"/>
      <w:kern w:val="0"/>
      <w:sz w:val="24"/>
    </w:rPr>
  </w:style>
  <w:style w:type="paragraph" w:customStyle="1" w:styleId="181">
    <w:name w:val="xl89"/>
    <w:basedOn w:val="1"/>
    <w:qFormat/>
    <w:uiPriority w:val="99"/>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ind w:firstLine="0" w:firstLineChars="0"/>
      <w:jc w:val="center"/>
      <w:textAlignment w:val="center"/>
    </w:pPr>
    <w:rPr>
      <w:rFonts w:eastAsia="宋体" w:cs="宋体"/>
      <w:b/>
      <w:bCs/>
      <w:kern w:val="0"/>
      <w:sz w:val="24"/>
    </w:rPr>
  </w:style>
  <w:style w:type="paragraph" w:customStyle="1" w:styleId="182">
    <w:name w:val="xl90"/>
    <w:basedOn w:val="1"/>
    <w:qFormat/>
    <w:uiPriority w:val="99"/>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ind w:firstLine="0" w:firstLineChars="0"/>
      <w:jc w:val="center"/>
      <w:textAlignment w:val="center"/>
    </w:pPr>
    <w:rPr>
      <w:rFonts w:eastAsia="宋体" w:cs="宋体"/>
      <w:kern w:val="0"/>
      <w:sz w:val="24"/>
    </w:rPr>
  </w:style>
  <w:style w:type="paragraph" w:customStyle="1" w:styleId="183">
    <w:name w:val="xl91"/>
    <w:basedOn w:val="1"/>
    <w:qFormat/>
    <w:uiPriority w:val="99"/>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ind w:firstLine="0" w:firstLineChars="0"/>
      <w:jc w:val="center"/>
      <w:textAlignment w:val="center"/>
    </w:pPr>
    <w:rPr>
      <w:rFonts w:eastAsia="宋体" w:cs="宋体"/>
      <w:b/>
      <w:bCs/>
      <w:color w:val="000000"/>
      <w:kern w:val="0"/>
      <w:sz w:val="21"/>
      <w:szCs w:val="21"/>
    </w:rPr>
  </w:style>
  <w:style w:type="paragraph" w:customStyle="1" w:styleId="184">
    <w:name w:val="xl92"/>
    <w:basedOn w:val="1"/>
    <w:qFormat/>
    <w:uiPriority w:val="99"/>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ind w:firstLine="0" w:firstLineChars="0"/>
      <w:jc w:val="center"/>
      <w:textAlignment w:val="center"/>
    </w:pPr>
    <w:rPr>
      <w:rFonts w:eastAsia="宋体" w:cs="宋体"/>
      <w:kern w:val="0"/>
      <w:sz w:val="21"/>
      <w:szCs w:val="21"/>
    </w:rPr>
  </w:style>
  <w:style w:type="paragraph" w:customStyle="1" w:styleId="185">
    <w:name w:val="xl93"/>
    <w:basedOn w:val="1"/>
    <w:qFormat/>
    <w:uiPriority w:val="99"/>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ind w:firstLine="0" w:firstLineChars="0"/>
      <w:jc w:val="center"/>
      <w:textAlignment w:val="center"/>
    </w:pPr>
    <w:rPr>
      <w:rFonts w:eastAsia="宋体" w:cs="宋体"/>
      <w:b/>
      <w:bCs/>
      <w:color w:val="000000"/>
      <w:kern w:val="0"/>
      <w:sz w:val="21"/>
      <w:szCs w:val="21"/>
    </w:rPr>
  </w:style>
  <w:style w:type="paragraph" w:customStyle="1" w:styleId="186">
    <w:name w:val="xl94"/>
    <w:basedOn w:val="1"/>
    <w:qFormat/>
    <w:uiPriority w:val="99"/>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ind w:firstLine="0" w:firstLineChars="0"/>
      <w:jc w:val="center"/>
      <w:textAlignment w:val="center"/>
    </w:pPr>
    <w:rPr>
      <w:rFonts w:eastAsia="宋体" w:cs="宋体"/>
      <w:color w:val="000000"/>
      <w:kern w:val="0"/>
      <w:sz w:val="21"/>
      <w:szCs w:val="21"/>
    </w:rPr>
  </w:style>
  <w:style w:type="paragraph" w:customStyle="1" w:styleId="187">
    <w:name w:val="xl95"/>
    <w:basedOn w:val="1"/>
    <w:qFormat/>
    <w:uiPriority w:val="99"/>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ind w:firstLine="0" w:firstLineChars="0"/>
      <w:jc w:val="center"/>
      <w:textAlignment w:val="center"/>
    </w:pPr>
    <w:rPr>
      <w:rFonts w:eastAsia="宋体" w:cs="宋体"/>
      <w:b/>
      <w:bCs/>
      <w:kern w:val="0"/>
      <w:sz w:val="21"/>
      <w:szCs w:val="21"/>
    </w:rPr>
  </w:style>
  <w:style w:type="paragraph" w:customStyle="1" w:styleId="188">
    <w:name w:val="xl96"/>
    <w:basedOn w:val="1"/>
    <w:qFormat/>
    <w:uiPriority w:val="99"/>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ind w:firstLine="0" w:firstLineChars="0"/>
      <w:jc w:val="center"/>
      <w:textAlignment w:val="center"/>
    </w:pPr>
    <w:rPr>
      <w:rFonts w:eastAsia="宋体" w:cs="宋体"/>
      <w:kern w:val="0"/>
      <w:sz w:val="24"/>
    </w:rPr>
  </w:style>
  <w:style w:type="paragraph" w:customStyle="1" w:styleId="189">
    <w:name w:val="xl97"/>
    <w:basedOn w:val="1"/>
    <w:qFormat/>
    <w:uiPriority w:val="99"/>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ind w:firstLine="0" w:firstLineChars="0"/>
      <w:jc w:val="center"/>
      <w:textAlignment w:val="center"/>
    </w:pPr>
    <w:rPr>
      <w:rFonts w:eastAsia="宋体" w:cs="宋体"/>
      <w:color w:val="FF0000"/>
      <w:kern w:val="0"/>
      <w:sz w:val="21"/>
      <w:szCs w:val="21"/>
    </w:rPr>
  </w:style>
  <w:style w:type="paragraph" w:customStyle="1" w:styleId="190">
    <w:name w:val="xl98"/>
    <w:basedOn w:val="1"/>
    <w:qFormat/>
    <w:uiPriority w:val="99"/>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ind w:firstLine="0" w:firstLineChars="0"/>
      <w:jc w:val="left"/>
    </w:pPr>
    <w:rPr>
      <w:rFonts w:eastAsia="宋体" w:cs="宋体"/>
      <w:kern w:val="0"/>
      <w:sz w:val="24"/>
    </w:rPr>
  </w:style>
  <w:style w:type="paragraph" w:customStyle="1" w:styleId="191">
    <w:name w:val="xl99"/>
    <w:basedOn w:val="1"/>
    <w:qFormat/>
    <w:uiPriority w:val="99"/>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ind w:firstLine="0" w:firstLineChars="0"/>
      <w:jc w:val="center"/>
      <w:textAlignment w:val="center"/>
    </w:pPr>
    <w:rPr>
      <w:rFonts w:eastAsia="宋体" w:cs="宋体"/>
      <w:b/>
      <w:bCs/>
      <w:kern w:val="0"/>
      <w:sz w:val="21"/>
      <w:szCs w:val="21"/>
    </w:rPr>
  </w:style>
  <w:style w:type="paragraph" w:customStyle="1" w:styleId="192">
    <w:name w:val="xl100"/>
    <w:basedOn w:val="1"/>
    <w:qFormat/>
    <w:uiPriority w:val="99"/>
    <w:pPr>
      <w:widowControl/>
      <w:pBdr>
        <w:top w:val="single" w:color="auto" w:sz="4" w:space="0"/>
        <w:left w:val="single" w:color="auto" w:sz="4" w:space="0"/>
        <w:bottom w:val="single" w:color="auto" w:sz="4" w:space="0"/>
      </w:pBdr>
      <w:autoSpaceDE/>
      <w:autoSpaceDN/>
      <w:spacing w:before="100" w:beforeAutospacing="1" w:after="100" w:afterAutospacing="1"/>
      <w:ind w:firstLine="0" w:firstLineChars="0"/>
      <w:jc w:val="center"/>
      <w:textAlignment w:val="center"/>
    </w:pPr>
    <w:rPr>
      <w:rFonts w:eastAsia="宋体" w:cs="宋体"/>
      <w:color w:val="000000"/>
      <w:kern w:val="0"/>
      <w:sz w:val="21"/>
      <w:szCs w:val="21"/>
    </w:rPr>
  </w:style>
  <w:style w:type="paragraph" w:customStyle="1" w:styleId="193">
    <w:name w:val="xl101"/>
    <w:basedOn w:val="1"/>
    <w:qFormat/>
    <w:uiPriority w:val="99"/>
    <w:pPr>
      <w:widowControl/>
      <w:pBdr>
        <w:top w:val="single" w:color="auto" w:sz="4" w:space="0"/>
        <w:bottom w:val="single" w:color="auto" w:sz="4" w:space="0"/>
      </w:pBdr>
      <w:autoSpaceDE/>
      <w:autoSpaceDN/>
      <w:spacing w:before="100" w:beforeAutospacing="1" w:after="100" w:afterAutospacing="1"/>
      <w:ind w:firstLine="0" w:firstLineChars="0"/>
      <w:jc w:val="center"/>
      <w:textAlignment w:val="center"/>
    </w:pPr>
    <w:rPr>
      <w:rFonts w:eastAsia="宋体" w:cs="宋体"/>
      <w:color w:val="000000"/>
      <w:kern w:val="0"/>
      <w:sz w:val="21"/>
      <w:szCs w:val="21"/>
    </w:rPr>
  </w:style>
  <w:style w:type="paragraph" w:customStyle="1" w:styleId="194">
    <w:name w:val="xl102"/>
    <w:basedOn w:val="1"/>
    <w:qFormat/>
    <w:uiPriority w:val="99"/>
    <w:pPr>
      <w:widowControl/>
      <w:pBdr>
        <w:top w:val="single" w:color="auto" w:sz="4" w:space="0"/>
        <w:bottom w:val="single" w:color="auto" w:sz="4" w:space="0"/>
        <w:right w:val="single" w:color="auto" w:sz="4" w:space="0"/>
      </w:pBdr>
      <w:autoSpaceDE/>
      <w:autoSpaceDN/>
      <w:spacing w:before="100" w:beforeAutospacing="1" w:after="100" w:afterAutospacing="1"/>
      <w:ind w:firstLine="0" w:firstLineChars="0"/>
      <w:jc w:val="center"/>
      <w:textAlignment w:val="center"/>
    </w:pPr>
    <w:rPr>
      <w:rFonts w:eastAsia="宋体" w:cs="宋体"/>
      <w:color w:val="000000"/>
      <w:kern w:val="0"/>
      <w:sz w:val="21"/>
      <w:szCs w:val="21"/>
    </w:rPr>
  </w:style>
  <w:style w:type="paragraph" w:customStyle="1" w:styleId="195">
    <w:name w:val="xl103"/>
    <w:basedOn w:val="1"/>
    <w:qFormat/>
    <w:uiPriority w:val="99"/>
    <w:pPr>
      <w:widowControl/>
      <w:pBdr>
        <w:top w:val="single" w:color="auto" w:sz="4" w:space="0"/>
        <w:left w:val="single" w:color="auto" w:sz="4" w:space="0"/>
        <w:bottom w:val="single" w:color="auto" w:sz="4" w:space="0"/>
      </w:pBdr>
      <w:autoSpaceDE/>
      <w:autoSpaceDN/>
      <w:spacing w:before="100" w:beforeAutospacing="1" w:after="100" w:afterAutospacing="1"/>
      <w:ind w:firstLine="0" w:firstLineChars="0"/>
      <w:jc w:val="center"/>
    </w:pPr>
    <w:rPr>
      <w:rFonts w:eastAsia="宋体" w:cs="宋体"/>
      <w:kern w:val="0"/>
      <w:sz w:val="24"/>
    </w:rPr>
  </w:style>
  <w:style w:type="paragraph" w:customStyle="1" w:styleId="196">
    <w:name w:val="xl104"/>
    <w:basedOn w:val="1"/>
    <w:qFormat/>
    <w:uiPriority w:val="99"/>
    <w:pPr>
      <w:widowControl/>
      <w:pBdr>
        <w:top w:val="single" w:color="auto" w:sz="4" w:space="0"/>
        <w:bottom w:val="single" w:color="auto" w:sz="4" w:space="0"/>
      </w:pBdr>
      <w:autoSpaceDE/>
      <w:autoSpaceDN/>
      <w:spacing w:before="100" w:beforeAutospacing="1" w:after="100" w:afterAutospacing="1"/>
      <w:ind w:firstLine="0" w:firstLineChars="0"/>
      <w:jc w:val="center"/>
    </w:pPr>
    <w:rPr>
      <w:rFonts w:eastAsia="宋体" w:cs="宋体"/>
      <w:kern w:val="0"/>
      <w:sz w:val="24"/>
    </w:rPr>
  </w:style>
  <w:style w:type="paragraph" w:customStyle="1" w:styleId="197">
    <w:name w:val="xl105"/>
    <w:basedOn w:val="1"/>
    <w:qFormat/>
    <w:uiPriority w:val="99"/>
    <w:pPr>
      <w:widowControl/>
      <w:pBdr>
        <w:top w:val="single" w:color="auto" w:sz="4" w:space="0"/>
        <w:bottom w:val="single" w:color="auto" w:sz="4" w:space="0"/>
        <w:right w:val="single" w:color="auto" w:sz="4" w:space="0"/>
      </w:pBdr>
      <w:autoSpaceDE/>
      <w:autoSpaceDN/>
      <w:spacing w:before="100" w:beforeAutospacing="1" w:after="100" w:afterAutospacing="1"/>
      <w:ind w:firstLine="0" w:firstLineChars="0"/>
      <w:jc w:val="center"/>
    </w:pPr>
    <w:rPr>
      <w:rFonts w:eastAsia="宋体" w:cs="宋体"/>
      <w:kern w:val="0"/>
      <w:sz w:val="24"/>
    </w:rPr>
  </w:style>
  <w:style w:type="paragraph" w:customStyle="1" w:styleId="198">
    <w:name w:val="xl106"/>
    <w:basedOn w:val="1"/>
    <w:qFormat/>
    <w:uiPriority w:val="99"/>
    <w:pPr>
      <w:widowControl/>
      <w:pBdr>
        <w:top w:val="single" w:color="auto" w:sz="4" w:space="0"/>
        <w:left w:val="single" w:color="auto" w:sz="4" w:space="0"/>
        <w:right w:val="single" w:color="auto" w:sz="4" w:space="0"/>
      </w:pBdr>
      <w:autoSpaceDE/>
      <w:autoSpaceDN/>
      <w:spacing w:before="100" w:beforeAutospacing="1" w:after="100" w:afterAutospacing="1"/>
      <w:ind w:firstLine="0" w:firstLineChars="0"/>
      <w:jc w:val="center"/>
      <w:textAlignment w:val="center"/>
    </w:pPr>
    <w:rPr>
      <w:rFonts w:eastAsia="宋体" w:cs="宋体"/>
      <w:color w:val="000000"/>
      <w:kern w:val="0"/>
      <w:sz w:val="21"/>
      <w:szCs w:val="21"/>
    </w:rPr>
  </w:style>
  <w:style w:type="paragraph" w:customStyle="1" w:styleId="199">
    <w:name w:val="xl107"/>
    <w:basedOn w:val="1"/>
    <w:qFormat/>
    <w:uiPriority w:val="99"/>
    <w:pPr>
      <w:widowControl/>
      <w:pBdr>
        <w:left w:val="single" w:color="auto" w:sz="4" w:space="0"/>
        <w:bottom w:val="single" w:color="auto" w:sz="4" w:space="0"/>
        <w:right w:val="single" w:color="auto" w:sz="4" w:space="0"/>
      </w:pBdr>
      <w:autoSpaceDE/>
      <w:autoSpaceDN/>
      <w:spacing w:before="100" w:beforeAutospacing="1" w:after="100" w:afterAutospacing="1"/>
      <w:ind w:firstLine="0" w:firstLineChars="0"/>
      <w:jc w:val="center"/>
      <w:textAlignment w:val="center"/>
    </w:pPr>
    <w:rPr>
      <w:rFonts w:eastAsia="宋体" w:cs="宋体"/>
      <w:color w:val="000000"/>
      <w:kern w:val="0"/>
      <w:sz w:val="21"/>
      <w:szCs w:val="21"/>
    </w:rPr>
  </w:style>
  <w:style w:type="paragraph" w:customStyle="1" w:styleId="200">
    <w:name w:val="xl108"/>
    <w:basedOn w:val="1"/>
    <w:qFormat/>
    <w:uiPriority w:val="99"/>
    <w:pPr>
      <w:widowControl/>
      <w:pBdr>
        <w:top w:val="single" w:color="auto" w:sz="4" w:space="0"/>
        <w:left w:val="single" w:color="auto" w:sz="4" w:space="0"/>
        <w:bottom w:val="single" w:color="auto" w:sz="4" w:space="0"/>
      </w:pBdr>
      <w:autoSpaceDE/>
      <w:autoSpaceDN/>
      <w:spacing w:before="100" w:beforeAutospacing="1" w:after="100" w:afterAutospacing="1"/>
      <w:ind w:firstLine="0" w:firstLineChars="0"/>
      <w:jc w:val="center"/>
      <w:textAlignment w:val="center"/>
    </w:pPr>
    <w:rPr>
      <w:rFonts w:eastAsia="宋体" w:cs="宋体"/>
      <w:kern w:val="0"/>
      <w:sz w:val="21"/>
      <w:szCs w:val="21"/>
    </w:rPr>
  </w:style>
  <w:style w:type="paragraph" w:customStyle="1" w:styleId="201">
    <w:name w:val="xl109"/>
    <w:basedOn w:val="1"/>
    <w:qFormat/>
    <w:uiPriority w:val="99"/>
    <w:pPr>
      <w:widowControl/>
      <w:pBdr>
        <w:top w:val="single" w:color="auto" w:sz="4" w:space="0"/>
        <w:bottom w:val="single" w:color="auto" w:sz="4" w:space="0"/>
      </w:pBdr>
      <w:autoSpaceDE/>
      <w:autoSpaceDN/>
      <w:spacing w:before="100" w:beforeAutospacing="1" w:after="100" w:afterAutospacing="1"/>
      <w:ind w:firstLine="0" w:firstLineChars="0"/>
      <w:jc w:val="center"/>
      <w:textAlignment w:val="center"/>
    </w:pPr>
    <w:rPr>
      <w:rFonts w:eastAsia="宋体" w:cs="宋体"/>
      <w:kern w:val="0"/>
      <w:sz w:val="21"/>
      <w:szCs w:val="21"/>
    </w:rPr>
  </w:style>
  <w:style w:type="paragraph" w:customStyle="1" w:styleId="202">
    <w:name w:val="xl110"/>
    <w:basedOn w:val="1"/>
    <w:qFormat/>
    <w:uiPriority w:val="99"/>
    <w:pPr>
      <w:widowControl/>
      <w:pBdr>
        <w:top w:val="single" w:color="auto" w:sz="4" w:space="0"/>
        <w:bottom w:val="single" w:color="auto" w:sz="4" w:space="0"/>
        <w:right w:val="single" w:color="auto" w:sz="4" w:space="0"/>
      </w:pBdr>
      <w:autoSpaceDE/>
      <w:autoSpaceDN/>
      <w:spacing w:before="100" w:beforeAutospacing="1" w:after="100" w:afterAutospacing="1"/>
      <w:ind w:firstLine="0" w:firstLineChars="0"/>
      <w:jc w:val="center"/>
      <w:textAlignment w:val="center"/>
    </w:pPr>
    <w:rPr>
      <w:rFonts w:eastAsia="宋体" w:cs="宋体"/>
      <w:kern w:val="0"/>
      <w:sz w:val="21"/>
      <w:szCs w:val="21"/>
    </w:rPr>
  </w:style>
  <w:style w:type="paragraph" w:customStyle="1" w:styleId="203">
    <w:name w:val="xl111"/>
    <w:basedOn w:val="1"/>
    <w:qFormat/>
    <w:uiPriority w:val="99"/>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ind w:firstLine="0" w:firstLineChars="0"/>
      <w:jc w:val="center"/>
      <w:textAlignment w:val="center"/>
    </w:pPr>
    <w:rPr>
      <w:rFonts w:eastAsia="宋体" w:cs="宋体"/>
      <w:b/>
      <w:bCs/>
      <w:color w:val="000000"/>
      <w:kern w:val="0"/>
      <w:sz w:val="24"/>
    </w:rPr>
  </w:style>
  <w:style w:type="paragraph" w:customStyle="1" w:styleId="204">
    <w:name w:val="xl112"/>
    <w:basedOn w:val="1"/>
    <w:qFormat/>
    <w:uiPriority w:val="99"/>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ind w:firstLine="0" w:firstLineChars="0"/>
      <w:jc w:val="center"/>
      <w:textAlignment w:val="center"/>
    </w:pPr>
    <w:rPr>
      <w:rFonts w:eastAsia="宋体" w:cs="宋体"/>
      <w:b/>
      <w:bCs/>
      <w:color w:val="000000"/>
      <w:kern w:val="0"/>
      <w:sz w:val="24"/>
    </w:rPr>
  </w:style>
  <w:style w:type="paragraph" w:customStyle="1" w:styleId="205">
    <w:name w:val="xl113"/>
    <w:basedOn w:val="1"/>
    <w:qFormat/>
    <w:uiPriority w:val="99"/>
    <w:pPr>
      <w:widowControl/>
      <w:pBdr>
        <w:top w:val="single" w:color="auto" w:sz="4" w:space="0"/>
        <w:left w:val="single" w:color="auto" w:sz="4" w:space="0"/>
        <w:right w:val="single" w:color="auto" w:sz="4" w:space="0"/>
      </w:pBdr>
      <w:autoSpaceDE/>
      <w:autoSpaceDN/>
      <w:spacing w:before="100" w:beforeAutospacing="1" w:after="100" w:afterAutospacing="1"/>
      <w:ind w:firstLine="0" w:firstLineChars="0"/>
      <w:jc w:val="center"/>
      <w:textAlignment w:val="center"/>
    </w:pPr>
    <w:rPr>
      <w:rFonts w:eastAsia="宋体" w:cs="宋体"/>
      <w:b/>
      <w:bCs/>
      <w:color w:val="000000"/>
      <w:kern w:val="0"/>
      <w:sz w:val="24"/>
    </w:rPr>
  </w:style>
  <w:style w:type="paragraph" w:customStyle="1" w:styleId="206">
    <w:name w:val="xl114"/>
    <w:basedOn w:val="1"/>
    <w:qFormat/>
    <w:uiPriority w:val="99"/>
    <w:pPr>
      <w:widowControl/>
      <w:pBdr>
        <w:left w:val="single" w:color="auto" w:sz="4" w:space="0"/>
        <w:right w:val="single" w:color="auto" w:sz="4" w:space="0"/>
      </w:pBdr>
      <w:autoSpaceDE/>
      <w:autoSpaceDN/>
      <w:spacing w:before="100" w:beforeAutospacing="1" w:after="100" w:afterAutospacing="1"/>
      <w:ind w:firstLine="0" w:firstLineChars="0"/>
      <w:jc w:val="center"/>
      <w:textAlignment w:val="center"/>
    </w:pPr>
    <w:rPr>
      <w:rFonts w:eastAsia="宋体" w:cs="宋体"/>
      <w:b/>
      <w:bCs/>
      <w:color w:val="000000"/>
      <w:kern w:val="0"/>
      <w:sz w:val="24"/>
    </w:rPr>
  </w:style>
  <w:style w:type="paragraph" w:customStyle="1" w:styleId="207">
    <w:name w:val="xl115"/>
    <w:basedOn w:val="1"/>
    <w:qFormat/>
    <w:uiPriority w:val="99"/>
    <w:pPr>
      <w:widowControl/>
      <w:pBdr>
        <w:left w:val="single" w:color="auto" w:sz="4" w:space="0"/>
        <w:bottom w:val="single" w:color="auto" w:sz="4" w:space="0"/>
        <w:right w:val="single" w:color="auto" w:sz="4" w:space="0"/>
      </w:pBdr>
      <w:autoSpaceDE/>
      <w:autoSpaceDN/>
      <w:spacing w:before="100" w:beforeAutospacing="1" w:after="100" w:afterAutospacing="1"/>
      <w:ind w:firstLine="0" w:firstLineChars="0"/>
      <w:jc w:val="center"/>
      <w:textAlignment w:val="center"/>
    </w:pPr>
    <w:rPr>
      <w:rFonts w:eastAsia="宋体" w:cs="宋体"/>
      <w:b/>
      <w:bCs/>
      <w:color w:val="000000"/>
      <w:kern w:val="0"/>
      <w:sz w:val="24"/>
    </w:rPr>
  </w:style>
  <w:style w:type="paragraph" w:customStyle="1" w:styleId="208">
    <w:name w:val="xl116"/>
    <w:basedOn w:val="1"/>
    <w:qFormat/>
    <w:uiPriority w:val="99"/>
    <w:pPr>
      <w:widowControl/>
      <w:pBdr>
        <w:top w:val="single" w:color="auto" w:sz="4" w:space="0"/>
        <w:left w:val="single" w:color="auto" w:sz="4" w:space="0"/>
        <w:bottom w:val="single" w:color="auto" w:sz="4" w:space="0"/>
      </w:pBdr>
      <w:autoSpaceDE/>
      <w:autoSpaceDN/>
      <w:spacing w:before="100" w:beforeAutospacing="1" w:after="100" w:afterAutospacing="1"/>
      <w:ind w:firstLine="0" w:firstLineChars="0"/>
      <w:jc w:val="center"/>
    </w:pPr>
    <w:rPr>
      <w:rFonts w:eastAsia="宋体" w:cs="宋体"/>
      <w:b/>
      <w:bCs/>
      <w:kern w:val="0"/>
      <w:sz w:val="24"/>
    </w:rPr>
  </w:style>
  <w:style w:type="paragraph" w:customStyle="1" w:styleId="209">
    <w:name w:val="xl117"/>
    <w:basedOn w:val="1"/>
    <w:qFormat/>
    <w:uiPriority w:val="99"/>
    <w:pPr>
      <w:widowControl/>
      <w:pBdr>
        <w:top w:val="single" w:color="auto" w:sz="4" w:space="0"/>
        <w:bottom w:val="single" w:color="auto" w:sz="4" w:space="0"/>
      </w:pBdr>
      <w:autoSpaceDE/>
      <w:autoSpaceDN/>
      <w:spacing w:before="100" w:beforeAutospacing="1" w:after="100" w:afterAutospacing="1"/>
      <w:ind w:firstLine="0" w:firstLineChars="0"/>
      <w:jc w:val="center"/>
    </w:pPr>
    <w:rPr>
      <w:rFonts w:eastAsia="宋体" w:cs="宋体"/>
      <w:b/>
      <w:bCs/>
      <w:kern w:val="0"/>
      <w:sz w:val="24"/>
    </w:rPr>
  </w:style>
  <w:style w:type="paragraph" w:customStyle="1" w:styleId="210">
    <w:name w:val="xl118"/>
    <w:basedOn w:val="1"/>
    <w:qFormat/>
    <w:uiPriority w:val="99"/>
    <w:pPr>
      <w:widowControl/>
      <w:pBdr>
        <w:top w:val="single" w:color="auto" w:sz="4" w:space="0"/>
        <w:bottom w:val="single" w:color="auto" w:sz="4" w:space="0"/>
        <w:right w:val="single" w:color="auto" w:sz="4" w:space="0"/>
      </w:pBdr>
      <w:autoSpaceDE/>
      <w:autoSpaceDN/>
      <w:spacing w:before="100" w:beforeAutospacing="1" w:after="100" w:afterAutospacing="1"/>
      <w:ind w:firstLine="0" w:firstLineChars="0"/>
      <w:jc w:val="center"/>
    </w:pPr>
    <w:rPr>
      <w:rFonts w:eastAsia="宋体" w:cs="宋体"/>
      <w:b/>
      <w:bCs/>
      <w:kern w:val="0"/>
      <w:sz w:val="24"/>
    </w:rPr>
  </w:style>
  <w:style w:type="paragraph" w:customStyle="1" w:styleId="211">
    <w:name w:val="xl119"/>
    <w:basedOn w:val="1"/>
    <w:qFormat/>
    <w:uiPriority w:val="99"/>
    <w:pPr>
      <w:widowControl/>
      <w:pBdr>
        <w:top w:val="single" w:color="auto" w:sz="4" w:space="0"/>
        <w:left w:val="single" w:color="auto" w:sz="4" w:space="0"/>
        <w:bottom w:val="single" w:color="auto" w:sz="4" w:space="0"/>
      </w:pBdr>
      <w:autoSpaceDE/>
      <w:autoSpaceDN/>
      <w:spacing w:before="100" w:beforeAutospacing="1" w:after="100" w:afterAutospacing="1"/>
      <w:ind w:firstLine="0" w:firstLineChars="0"/>
      <w:jc w:val="center"/>
      <w:textAlignment w:val="center"/>
    </w:pPr>
    <w:rPr>
      <w:rFonts w:eastAsia="宋体" w:cs="宋体"/>
      <w:kern w:val="0"/>
      <w:sz w:val="24"/>
    </w:rPr>
  </w:style>
  <w:style w:type="paragraph" w:customStyle="1" w:styleId="212">
    <w:name w:val="xl120"/>
    <w:basedOn w:val="1"/>
    <w:qFormat/>
    <w:uiPriority w:val="99"/>
    <w:pPr>
      <w:widowControl/>
      <w:pBdr>
        <w:top w:val="single" w:color="auto" w:sz="4" w:space="0"/>
        <w:bottom w:val="single" w:color="auto" w:sz="4" w:space="0"/>
      </w:pBdr>
      <w:autoSpaceDE/>
      <w:autoSpaceDN/>
      <w:spacing w:before="100" w:beforeAutospacing="1" w:after="100" w:afterAutospacing="1"/>
      <w:ind w:firstLine="0" w:firstLineChars="0"/>
      <w:jc w:val="center"/>
      <w:textAlignment w:val="center"/>
    </w:pPr>
    <w:rPr>
      <w:rFonts w:eastAsia="宋体" w:cs="宋体"/>
      <w:kern w:val="0"/>
      <w:sz w:val="24"/>
    </w:rPr>
  </w:style>
  <w:style w:type="paragraph" w:customStyle="1" w:styleId="213">
    <w:name w:val="xl121"/>
    <w:basedOn w:val="1"/>
    <w:qFormat/>
    <w:uiPriority w:val="99"/>
    <w:pPr>
      <w:widowControl/>
      <w:pBdr>
        <w:top w:val="single" w:color="auto" w:sz="4" w:space="0"/>
        <w:bottom w:val="single" w:color="auto" w:sz="4" w:space="0"/>
        <w:right w:val="single" w:color="auto" w:sz="4" w:space="0"/>
      </w:pBdr>
      <w:autoSpaceDE/>
      <w:autoSpaceDN/>
      <w:spacing w:before="100" w:beforeAutospacing="1" w:after="100" w:afterAutospacing="1"/>
      <w:ind w:firstLine="0" w:firstLineChars="0"/>
      <w:jc w:val="center"/>
      <w:textAlignment w:val="center"/>
    </w:pPr>
    <w:rPr>
      <w:rFonts w:eastAsia="宋体" w:cs="宋体"/>
      <w:kern w:val="0"/>
      <w:sz w:val="24"/>
    </w:rPr>
  </w:style>
  <w:style w:type="paragraph" w:customStyle="1" w:styleId="214">
    <w:name w:val="Char Char Char Char2"/>
    <w:basedOn w:val="1"/>
    <w:qFormat/>
    <w:uiPriority w:val="0"/>
    <w:pPr>
      <w:autoSpaceDE/>
      <w:autoSpaceDN/>
      <w:ind w:firstLine="0" w:firstLineChars="0"/>
    </w:pPr>
    <w:rPr>
      <w:rFonts w:ascii="Times New Roman" w:hAnsi="Times New Roman" w:eastAsia="宋体"/>
      <w:sz w:val="21"/>
    </w:rPr>
  </w:style>
  <w:style w:type="paragraph" w:customStyle="1" w:styleId="215">
    <w:name w:val="Revision"/>
    <w:hidden/>
    <w:semiHidden/>
    <w:qFormat/>
    <w:uiPriority w:val="99"/>
    <w:rPr>
      <w:rFonts w:ascii="宋体" w:hAnsi="宋体" w:eastAsia="仿宋" w:cs="Times New Roman"/>
      <w:kern w:val="2"/>
      <w:sz w:val="28"/>
      <w:szCs w:val="24"/>
      <w:lang w:val="en-US" w:eastAsia="zh-CN" w:bidi="ar-SA"/>
    </w:rPr>
  </w:style>
  <w:style w:type="paragraph" w:customStyle="1" w:styleId="216">
    <w:name w:val="样式 两端对齐 首行缩进:  2 字符"/>
    <w:basedOn w:val="1"/>
    <w:qFormat/>
    <w:uiPriority w:val="0"/>
    <w:pPr>
      <w:widowControl/>
      <w:autoSpaceDE/>
      <w:autoSpaceDN/>
      <w:spacing w:beforeLines="50" w:afterLines="50" w:line="360" w:lineRule="auto"/>
    </w:pPr>
    <w:rPr>
      <w:rFonts w:ascii="Tahoma" w:hAnsi="Tahoma" w:eastAsia="宋体" w:cs="宋体"/>
      <w:kern w:val="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5" Type="http://schemas.microsoft.com/office/2011/relationships/people" Target="people.xml"/><Relationship Id="rId34" Type="http://schemas.openxmlformats.org/officeDocument/2006/relationships/fontTable" Target="fontTable.xml"/><Relationship Id="rId33" Type="http://schemas.openxmlformats.org/officeDocument/2006/relationships/customXml" Target="../customXml/item2.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8.png"/><Relationship Id="rId3" Type="http://schemas.openxmlformats.org/officeDocument/2006/relationships/comments" Target="comments.xml"/><Relationship Id="rId29" Type="http://schemas.openxmlformats.org/officeDocument/2006/relationships/image" Target="media/image7.jpeg"/><Relationship Id="rId28" Type="http://schemas.openxmlformats.org/officeDocument/2006/relationships/image" Target="media/image6.png"/><Relationship Id="rId27" Type="http://schemas.openxmlformats.org/officeDocument/2006/relationships/image" Target="media/image5.png"/><Relationship Id="rId26" Type="http://schemas.openxmlformats.org/officeDocument/2006/relationships/image" Target="media/image4.jpeg"/><Relationship Id="rId25" Type="http://schemas.openxmlformats.org/officeDocument/2006/relationships/image" Target="media/image3.png"/><Relationship Id="rId24" Type="http://schemas.openxmlformats.org/officeDocument/2006/relationships/theme" Target="theme/theme1.xml"/><Relationship Id="rId23" Type="http://schemas.openxmlformats.org/officeDocument/2006/relationships/footer" Target="footer7.xml"/><Relationship Id="rId22" Type="http://schemas.openxmlformats.org/officeDocument/2006/relationships/header" Target="header12.xml"/><Relationship Id="rId21" Type="http://schemas.openxmlformats.org/officeDocument/2006/relationships/header" Target="header11.xml"/><Relationship Id="rId20" Type="http://schemas.openxmlformats.org/officeDocument/2006/relationships/footer" Target="footer6.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header" Target="header9.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F5158F0-8C87-4B3F-9211-55DB26CF0ADC}">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76</Pages>
  <Words>41312</Words>
  <Characters>7921</Characters>
  <Lines>66</Lines>
  <Paragraphs>98</Paragraphs>
  <TotalTime>1</TotalTime>
  <ScaleCrop>false</ScaleCrop>
  <LinksUpToDate>false</LinksUpToDate>
  <CharactersWithSpaces>49135</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2024-03-19T07:04:00Z</dcterms:created>
  <dc:creator>管峰</dc:creator>
  <cp:lastModifiedBy>池星辰(chixingchen)</cp:lastModifiedBy>
  <cp:lastPrinted>2017-02-23T03:50:00Z</cp:lastPrinted>
  <dcterms:modified xsi:type="dcterms:W3CDTF">2025-10-23T08:58:36Z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